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90" w:rsidRPr="0059607F" w:rsidRDefault="00642E90" w:rsidP="00642E90">
      <w:pPr>
        <w:rPr>
          <w:lang w:val="ka-GE"/>
        </w:rPr>
      </w:pPr>
      <w:r w:rsidRPr="0059607F">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r w:rsidRPr="0059607F">
        <w:t xml:space="preserve"> </w:t>
      </w:r>
      <w:r w:rsidRPr="0059607F">
        <w:rPr>
          <w:lang w:val="ka-GE"/>
        </w:rPr>
        <w:t>ქალბატონ ეკატერინე ტიკარაძეს</w:t>
      </w:r>
    </w:p>
    <w:p w:rsidR="00642E90" w:rsidRPr="0059607F" w:rsidRDefault="00642E90" w:rsidP="00642E90">
      <w:pPr>
        <w:rPr>
          <w:lang w:val="ka-GE"/>
        </w:rPr>
      </w:pPr>
      <w:r w:rsidRPr="0059607F">
        <w:rPr>
          <w:lang w:val="ka-GE"/>
        </w:rPr>
        <w:t>მინისტრის პირველი მოადგილის თამარ გაბუნიას</w:t>
      </w:r>
    </w:p>
    <w:p w:rsidR="00642E90" w:rsidRPr="0059607F" w:rsidRDefault="00642E90" w:rsidP="00642E90">
      <w:pPr>
        <w:rPr>
          <w:lang w:val="ka-GE"/>
        </w:rPr>
      </w:pPr>
    </w:p>
    <w:p w:rsidR="00642E90" w:rsidRPr="0059607F" w:rsidRDefault="00642E90" w:rsidP="00642E90">
      <w:pPr>
        <w:rPr>
          <w:lang w:val="ka-GE"/>
        </w:rPr>
      </w:pPr>
      <w:r w:rsidRPr="0059607F">
        <w:rPr>
          <w:lang w:val="ka-GE"/>
        </w:rPr>
        <w:t>მოხსენებითი ბარათი</w:t>
      </w:r>
    </w:p>
    <w:p w:rsidR="00642E90" w:rsidRPr="0059607F" w:rsidRDefault="00642E90" w:rsidP="00642E90">
      <w:pPr>
        <w:rPr>
          <w:lang w:val="ka-GE"/>
        </w:rPr>
      </w:pPr>
    </w:p>
    <w:p w:rsidR="00642E90" w:rsidRPr="0059607F" w:rsidRDefault="00642E90" w:rsidP="00642E90">
      <w:pPr>
        <w:rPr>
          <w:lang w:val="ka-GE"/>
        </w:rPr>
      </w:pPr>
      <w:r w:rsidRPr="0059607F">
        <w:rPr>
          <w:lang w:val="ka-GE"/>
        </w:rPr>
        <w:t>ქალბატონო ეკატერინე,</w:t>
      </w:r>
    </w:p>
    <w:p w:rsidR="00AD2332" w:rsidRPr="0059607F" w:rsidRDefault="00AD2332" w:rsidP="00AD2332">
      <w:pPr>
        <w:jc w:val="center"/>
        <w:rPr>
          <w:lang w:val="ka-GE"/>
        </w:rPr>
      </w:pPr>
    </w:p>
    <w:p w:rsidR="00840671" w:rsidRPr="00840671" w:rsidRDefault="00691396" w:rsidP="00451144">
      <w:pPr>
        <w:jc w:val="both"/>
        <w:rPr>
          <w:rFonts w:eastAsia="Sylfaen"/>
        </w:rPr>
      </w:pPr>
      <w:r w:rsidRPr="0059607F">
        <w:rPr>
          <w:rFonts w:eastAsia="Sylfaen"/>
          <w:lang w:val="ka-GE"/>
        </w:rPr>
        <w:t xml:space="preserve">როგორც მოგეხსენებათ, </w:t>
      </w:r>
      <w:r w:rsidR="00840671" w:rsidRPr="00840671">
        <w:rPr>
          <w:rFonts w:eastAsia="Sylfaen"/>
          <w:lang w:val="ka-GE"/>
        </w:rPr>
        <w:t xml:space="preserve"> კორონავირუსული ინფექციის (COVID-19) პანდემიის</w:t>
      </w:r>
      <w:r w:rsidR="00840671">
        <w:rPr>
          <w:rFonts w:eastAsia="Sylfaen"/>
        </w:rPr>
        <w:t xml:space="preserve"> </w:t>
      </w:r>
      <w:r w:rsidR="00840671">
        <w:rPr>
          <w:rFonts w:eastAsia="Sylfaen"/>
          <w:lang w:val="ka-GE"/>
        </w:rPr>
        <w:t xml:space="preserve">პირობებში </w:t>
      </w:r>
      <w:proofErr w:type="spellStart"/>
      <w:r w:rsidR="00840671" w:rsidRPr="00840671">
        <w:rPr>
          <w:rFonts w:eastAsia="Sylfaen"/>
        </w:rPr>
        <w:t>განსაკუთრებული</w:t>
      </w:r>
      <w:proofErr w:type="spellEnd"/>
      <w:r w:rsidR="00840671" w:rsidRPr="00840671">
        <w:rPr>
          <w:rFonts w:eastAsia="Sylfaen"/>
        </w:rPr>
        <w:t xml:space="preserve"> </w:t>
      </w:r>
      <w:proofErr w:type="spellStart"/>
      <w:r w:rsidR="00840671" w:rsidRPr="00840671">
        <w:rPr>
          <w:rFonts w:eastAsia="Sylfaen"/>
        </w:rPr>
        <w:t>მნიშვნელობა</w:t>
      </w:r>
      <w:proofErr w:type="spellEnd"/>
      <w:r w:rsidR="00840671" w:rsidRPr="00840671">
        <w:rPr>
          <w:rFonts w:eastAsia="Sylfaen"/>
        </w:rPr>
        <w:t xml:space="preserve"> </w:t>
      </w:r>
      <w:proofErr w:type="spellStart"/>
      <w:r w:rsidR="00840671" w:rsidRPr="00840671">
        <w:rPr>
          <w:rFonts w:eastAsia="Sylfaen"/>
        </w:rPr>
        <w:t>ენიჭება</w:t>
      </w:r>
      <w:proofErr w:type="spellEnd"/>
      <w:r w:rsidR="00840671" w:rsidRPr="00840671">
        <w:rPr>
          <w:rFonts w:eastAsia="Sylfaen"/>
        </w:rPr>
        <w:t xml:space="preserve"> </w:t>
      </w:r>
      <w:proofErr w:type="spellStart"/>
      <w:r w:rsidR="00840671" w:rsidRPr="00840671">
        <w:rPr>
          <w:rFonts w:eastAsia="Sylfaen"/>
        </w:rPr>
        <w:t>ვაქცინაციას</w:t>
      </w:r>
      <w:proofErr w:type="spellEnd"/>
      <w:r w:rsidR="00840671" w:rsidRPr="00840671">
        <w:rPr>
          <w:rFonts w:eastAsia="Sylfaen"/>
        </w:rPr>
        <w:t xml:space="preserve">, </w:t>
      </w:r>
      <w:proofErr w:type="spellStart"/>
      <w:r w:rsidR="00840671" w:rsidRPr="00840671">
        <w:rPr>
          <w:rFonts w:eastAsia="Sylfaen"/>
        </w:rPr>
        <w:t>როგორც</w:t>
      </w:r>
      <w:proofErr w:type="spellEnd"/>
      <w:r w:rsidR="00840671" w:rsidRPr="00840671">
        <w:rPr>
          <w:rFonts w:eastAsia="Sylfaen"/>
        </w:rPr>
        <w:t xml:space="preserve">  </w:t>
      </w:r>
      <w:proofErr w:type="spellStart"/>
      <w:r w:rsidR="00840671" w:rsidRPr="00840671">
        <w:rPr>
          <w:rFonts w:eastAsia="Sylfaen"/>
        </w:rPr>
        <w:t>მართვადი</w:t>
      </w:r>
      <w:proofErr w:type="spellEnd"/>
      <w:r w:rsidR="00840671" w:rsidRPr="00840671">
        <w:rPr>
          <w:rFonts w:eastAsia="Sylfaen"/>
        </w:rPr>
        <w:t xml:space="preserve"> </w:t>
      </w:r>
      <w:proofErr w:type="spellStart"/>
      <w:r w:rsidR="00840671" w:rsidRPr="00840671">
        <w:rPr>
          <w:rFonts w:eastAsia="Sylfaen"/>
        </w:rPr>
        <w:t>ინფექციების</w:t>
      </w:r>
      <w:proofErr w:type="spellEnd"/>
      <w:r w:rsidR="00840671" w:rsidRPr="00840671">
        <w:rPr>
          <w:rFonts w:eastAsia="Sylfaen"/>
        </w:rPr>
        <w:t xml:space="preserve"> </w:t>
      </w:r>
      <w:proofErr w:type="spellStart"/>
      <w:r w:rsidR="00840671" w:rsidRPr="00840671">
        <w:rPr>
          <w:rFonts w:eastAsia="Sylfaen"/>
        </w:rPr>
        <w:t>პროფილაქტიკის</w:t>
      </w:r>
      <w:proofErr w:type="spellEnd"/>
      <w:r w:rsidR="00840671" w:rsidRPr="00840671">
        <w:rPr>
          <w:rFonts w:eastAsia="Sylfaen"/>
        </w:rPr>
        <w:t xml:space="preserve"> </w:t>
      </w:r>
      <w:proofErr w:type="spellStart"/>
      <w:r w:rsidR="00840671" w:rsidRPr="00840671">
        <w:rPr>
          <w:rFonts w:eastAsia="Sylfaen"/>
        </w:rPr>
        <w:t>ერთადერთ</w:t>
      </w:r>
      <w:proofErr w:type="spellEnd"/>
      <w:r w:rsidR="00840671" w:rsidRPr="00840671">
        <w:rPr>
          <w:rFonts w:eastAsia="Sylfaen"/>
        </w:rPr>
        <w:t xml:space="preserve"> </w:t>
      </w:r>
      <w:proofErr w:type="spellStart"/>
      <w:r w:rsidR="00840671" w:rsidRPr="00840671">
        <w:rPr>
          <w:rFonts w:eastAsia="Sylfaen"/>
        </w:rPr>
        <w:t>უნიკალურ</w:t>
      </w:r>
      <w:proofErr w:type="spellEnd"/>
      <w:r w:rsidR="00840671" w:rsidRPr="00840671">
        <w:rPr>
          <w:rFonts w:eastAsia="Sylfaen"/>
        </w:rPr>
        <w:t xml:space="preserve"> </w:t>
      </w:r>
      <w:proofErr w:type="spellStart"/>
      <w:r w:rsidR="00840671" w:rsidRPr="00840671">
        <w:rPr>
          <w:rFonts w:eastAsia="Sylfaen"/>
        </w:rPr>
        <w:t>საშუალებას</w:t>
      </w:r>
      <w:proofErr w:type="spellEnd"/>
      <w:r w:rsidR="00840671" w:rsidRPr="00840671">
        <w:rPr>
          <w:rFonts w:eastAsia="Sylfaen"/>
        </w:rPr>
        <w:t>.</w:t>
      </w:r>
    </w:p>
    <w:p w:rsidR="00840671" w:rsidRDefault="00840671" w:rsidP="00840671">
      <w:pPr>
        <w:jc w:val="both"/>
      </w:pPr>
      <w:r>
        <w:rPr>
          <w:rFonts w:eastAsia="Sylfaen"/>
          <w:lang w:val="ka-GE"/>
        </w:rPr>
        <w:t>აღსანიშნავია,</w:t>
      </w:r>
      <w:r w:rsidRPr="00840671">
        <w:rPr>
          <w:rFonts w:eastAsia="Sylfaen"/>
          <w:lang w:val="ka-GE"/>
        </w:rPr>
        <w:t xml:space="preserve"> რომ მართვადი ინფექციების დიდი ნაწილი (წითელა, ჰიბ-ი, პნევმოკოკი, ყივანახველა)  მსგავსად ახლი კორონავირუსისა, აზიანებს ადამიანის სასუნთქ სისტემას და შესაძლებელია გახდეს  პნევმონიების გამომწვევი მიზეზი. </w:t>
      </w:r>
      <w:r>
        <w:rPr>
          <w:rFonts w:eastAsia="Sylfaen"/>
          <w:lang w:val="ka-GE"/>
        </w:rPr>
        <w:t>პნევმონიების</w:t>
      </w:r>
      <w:r>
        <w:t xml:space="preserve"> </w:t>
      </w:r>
      <w:proofErr w:type="spellStart"/>
      <w:r>
        <w:t>განვითარების</w:t>
      </w:r>
      <w:proofErr w:type="spellEnd"/>
      <w:r>
        <w:t xml:space="preserve"> </w:t>
      </w:r>
      <w:proofErr w:type="spellStart"/>
      <w:r>
        <w:t>და</w:t>
      </w:r>
      <w:proofErr w:type="spellEnd"/>
      <w:r>
        <w:t xml:space="preserve"> </w:t>
      </w:r>
      <w:proofErr w:type="spellStart"/>
      <w:r>
        <w:t>ლეტალური</w:t>
      </w:r>
      <w:proofErr w:type="spellEnd"/>
      <w:r>
        <w:t xml:space="preserve"> </w:t>
      </w:r>
      <w:proofErr w:type="spellStart"/>
      <w:r>
        <w:t>გამოსავლის</w:t>
      </w:r>
      <w:proofErr w:type="spellEnd"/>
      <w:r>
        <w:t xml:space="preserve"> </w:t>
      </w:r>
      <w:proofErr w:type="spellStart"/>
      <w:r>
        <w:t>ყველაზე</w:t>
      </w:r>
      <w:proofErr w:type="spellEnd"/>
      <w:r>
        <w:t xml:space="preserve"> </w:t>
      </w:r>
      <w:proofErr w:type="spellStart"/>
      <w:r>
        <w:t>მაღალი</w:t>
      </w:r>
      <w:proofErr w:type="spellEnd"/>
      <w:r>
        <w:t xml:space="preserve"> </w:t>
      </w:r>
      <w:proofErr w:type="spellStart"/>
      <w:r>
        <w:t>რისკის</w:t>
      </w:r>
      <w:proofErr w:type="spellEnd"/>
      <w:r>
        <w:t xml:space="preserve"> </w:t>
      </w:r>
      <w:proofErr w:type="spellStart"/>
      <w:r>
        <w:t>ქვეშ</w:t>
      </w:r>
      <w:proofErr w:type="spellEnd"/>
      <w:r>
        <w:t xml:space="preserve"> </w:t>
      </w:r>
      <w:proofErr w:type="spellStart"/>
      <w:r>
        <w:t>არიან</w:t>
      </w:r>
      <w:proofErr w:type="spellEnd"/>
      <w:r>
        <w:t xml:space="preserve"> 5 </w:t>
      </w:r>
      <w:proofErr w:type="spellStart"/>
      <w:r>
        <w:t>წლამდე</w:t>
      </w:r>
      <w:proofErr w:type="spellEnd"/>
      <w:r>
        <w:t xml:space="preserve"> </w:t>
      </w:r>
      <w:proofErr w:type="spellStart"/>
      <w:r>
        <w:t>ასაკის</w:t>
      </w:r>
      <w:proofErr w:type="spellEnd"/>
      <w:r>
        <w:t xml:space="preserve">, </w:t>
      </w:r>
      <w:proofErr w:type="spellStart"/>
      <w:r>
        <w:t>განსაკუთრებით</w:t>
      </w:r>
      <w:proofErr w:type="spellEnd"/>
      <w:r>
        <w:t xml:space="preserve"> </w:t>
      </w:r>
      <w:proofErr w:type="spellStart"/>
      <w:r>
        <w:t>კი</w:t>
      </w:r>
      <w:proofErr w:type="spellEnd"/>
      <w:r>
        <w:t xml:space="preserve"> </w:t>
      </w:r>
      <w:proofErr w:type="spellStart"/>
      <w:r>
        <w:t>ორ</w:t>
      </w:r>
      <w:proofErr w:type="spellEnd"/>
      <w:r>
        <w:t xml:space="preserve"> </w:t>
      </w:r>
      <w:proofErr w:type="spellStart"/>
      <w:r>
        <w:t>წლამდე</w:t>
      </w:r>
      <w:proofErr w:type="spellEnd"/>
      <w:r>
        <w:t xml:space="preserve"> </w:t>
      </w:r>
      <w:proofErr w:type="spellStart"/>
      <w:r>
        <w:t>ასაკის</w:t>
      </w:r>
      <w:proofErr w:type="spellEnd"/>
      <w:r>
        <w:t xml:space="preserve"> </w:t>
      </w:r>
      <w:proofErr w:type="spellStart"/>
      <w:r>
        <w:t>ბავშვები</w:t>
      </w:r>
      <w:proofErr w:type="spellEnd"/>
      <w:r>
        <w:t xml:space="preserve"> </w:t>
      </w:r>
      <w:proofErr w:type="spellStart"/>
      <w:r>
        <w:t>და</w:t>
      </w:r>
      <w:proofErr w:type="spellEnd"/>
      <w:r>
        <w:t xml:space="preserve"> </w:t>
      </w:r>
      <w:proofErr w:type="spellStart"/>
      <w:r>
        <w:t>ხანდაზმულები</w:t>
      </w:r>
      <w:proofErr w:type="spellEnd"/>
      <w:r>
        <w:t>.</w:t>
      </w:r>
    </w:p>
    <w:p w:rsidR="00840671" w:rsidRDefault="00840671" w:rsidP="00840671">
      <w:pPr>
        <w:jc w:val="both"/>
        <w:rPr>
          <w:lang w:val="ka-GE"/>
        </w:rPr>
      </w:pPr>
      <w:r>
        <w:rPr>
          <w:lang w:val="ka-GE"/>
        </w:rPr>
        <w:t>საყოველთაო ჯანდაცვის სახელმწიფო პროგრამის ფარგლებში 2017-2019 წლების სტატისტიკური მონაცემებით დაფიქსირებულია პნევმონიის 93 800-ზე მეტი შემთხვევა, მათ შორის 18-20% 5 წლამდე ასაკის ბავშვებში, ხოლო 38-40% 65 წელს ზემოთ ასაკის პირებში.</w:t>
      </w:r>
    </w:p>
    <w:p w:rsidR="00840671" w:rsidRPr="00840671" w:rsidRDefault="00840671" w:rsidP="00451144">
      <w:pPr>
        <w:jc w:val="both"/>
        <w:rPr>
          <w:rFonts w:eastAsia="Sylfaen"/>
          <w:lang w:val="ka-GE"/>
        </w:rPr>
      </w:pPr>
      <w:r>
        <w:rPr>
          <w:rFonts w:eastAsia="Sylfaen"/>
          <w:lang w:val="ka-GE"/>
        </w:rPr>
        <w:t xml:space="preserve">ზემოაღნიშნულის გათვალისწინებით, იმუნიზაციის </w:t>
      </w:r>
      <w:r w:rsidR="00181A5D">
        <w:rPr>
          <w:rFonts w:eastAsia="Sylfaen"/>
          <w:lang w:val="ka-GE"/>
        </w:rPr>
        <w:t xml:space="preserve">ტექნიკურ </w:t>
      </w:r>
      <w:r>
        <w:rPr>
          <w:rFonts w:eastAsia="Sylfaen"/>
          <w:lang w:val="ka-GE"/>
        </w:rPr>
        <w:t>ექსპერტთა საბჭოს  (</w:t>
      </w:r>
      <w:r>
        <w:rPr>
          <w:rFonts w:eastAsia="Sylfaen"/>
        </w:rPr>
        <w:t xml:space="preserve">NITAG) </w:t>
      </w:r>
      <w:r>
        <w:rPr>
          <w:rFonts w:eastAsia="Sylfaen"/>
          <w:lang w:val="ka-GE"/>
        </w:rPr>
        <w:t xml:space="preserve">მიერ განხილულ იქნა, 65 წელს ზემოთ ასაკის პირებში </w:t>
      </w:r>
      <w:proofErr w:type="spellStart"/>
      <w:r>
        <w:t>პნევმოკოკური</w:t>
      </w:r>
      <w:proofErr w:type="spellEnd"/>
      <w:r>
        <w:t xml:space="preserve"> </w:t>
      </w:r>
      <w:proofErr w:type="spellStart"/>
      <w:r>
        <w:t>ინფექციის</w:t>
      </w:r>
      <w:proofErr w:type="spellEnd"/>
      <w:r>
        <w:t xml:space="preserve"> </w:t>
      </w:r>
      <w:proofErr w:type="spellStart"/>
      <w:r>
        <w:t>საწინააღმდეგო</w:t>
      </w:r>
      <w:proofErr w:type="spellEnd"/>
      <w:r>
        <w:t xml:space="preserve">  </w:t>
      </w:r>
      <w:proofErr w:type="spellStart"/>
      <w:r>
        <w:t>ვაქცინაციის</w:t>
      </w:r>
      <w:proofErr w:type="spellEnd"/>
      <w:r>
        <w:t xml:space="preserve"> </w:t>
      </w:r>
      <w:proofErr w:type="spellStart"/>
      <w:r>
        <w:t>შემოღების</w:t>
      </w:r>
      <w:proofErr w:type="spellEnd"/>
      <w:r>
        <w:t xml:space="preserve"> </w:t>
      </w:r>
      <w:proofErr w:type="spellStart"/>
      <w:r>
        <w:t>საკითხი</w:t>
      </w:r>
      <w:proofErr w:type="spellEnd"/>
      <w:r>
        <w:t xml:space="preserve">. </w:t>
      </w:r>
    </w:p>
    <w:p w:rsidR="00DC5170" w:rsidRDefault="00840671" w:rsidP="00DC5170">
      <w:pPr>
        <w:jc w:val="both"/>
        <w:rPr>
          <w:lang w:val="ka-GE"/>
        </w:rPr>
      </w:pPr>
      <w:r>
        <w:rPr>
          <w:rFonts w:eastAsia="Sylfaen"/>
          <w:lang w:val="ka-GE"/>
        </w:rPr>
        <w:t xml:space="preserve">აშშ დაავადებათა კონტროლისა და პრევენციის ცენტრების რეკომენდაციების მიხედვით, </w:t>
      </w:r>
      <w:r w:rsidR="00DA3309" w:rsidRPr="001C249C">
        <w:rPr>
          <w:lang w:val="ka-GE"/>
        </w:rPr>
        <w:t>პნევმოკოკური ინფექციის საწინააღმდეგო</w:t>
      </w:r>
      <w:r w:rsidR="00DA3309" w:rsidRPr="001C249C">
        <w:rPr>
          <w:lang w:val="ka-GE"/>
        </w:rPr>
        <w:t xml:space="preserve">დ </w:t>
      </w:r>
      <w:r w:rsidR="00DA3309">
        <w:rPr>
          <w:rFonts w:eastAsia="Sylfaen"/>
          <w:lang w:val="ka-GE"/>
        </w:rPr>
        <w:t xml:space="preserve">გამოიყენება ორი სახის ვაქცინა, მათ შორის </w:t>
      </w:r>
      <w:r w:rsidR="00DA3309">
        <w:rPr>
          <w:b/>
          <w:u w:val="single"/>
          <w:lang w:val="ka-GE"/>
        </w:rPr>
        <w:t>PCV13  ვაქცინა -</w:t>
      </w:r>
      <w:r w:rsidR="00DA3309">
        <w:rPr>
          <w:lang w:val="ka-GE"/>
        </w:rPr>
        <w:t xml:space="preserve"> 1 დოზა კეთდება 19 - 64 წწ რისკფაქტორების და სამედიცინო ჩვენებების გათვალისწინებით</w:t>
      </w:r>
      <w:r w:rsidR="00DA3309">
        <w:rPr>
          <w:lang w:val="ka-GE"/>
        </w:rPr>
        <w:t xml:space="preserve">, ხოლო </w:t>
      </w:r>
      <w:r w:rsidR="00DA3309">
        <w:rPr>
          <w:lang w:val="ka-GE"/>
        </w:rPr>
        <w:t>65 წლის ზემოთ რეკომენდებული</w:t>
      </w:r>
      <w:r w:rsidR="00DA3309">
        <w:rPr>
          <w:lang w:val="ka-GE"/>
        </w:rPr>
        <w:t>ა</w:t>
      </w:r>
      <w:r w:rsidR="00DA3309">
        <w:rPr>
          <w:lang w:val="ka-GE"/>
        </w:rPr>
        <w:t xml:space="preserve"> 1 აცრის გაკეთება კლინიკური ჩვენებების მიხედვით;</w:t>
      </w:r>
      <w:r w:rsidR="00DC5170">
        <w:rPr>
          <w:lang w:val="ka-GE"/>
        </w:rPr>
        <w:t xml:space="preserve"> </w:t>
      </w:r>
      <w:r w:rsidR="00DC5170">
        <w:rPr>
          <w:b/>
          <w:u w:val="single"/>
          <w:lang w:val="ka-GE"/>
        </w:rPr>
        <w:t>PPSV23   ვაქცინა -</w:t>
      </w:r>
      <w:r w:rsidR="00DC5170">
        <w:rPr>
          <w:lang w:val="ka-GE"/>
        </w:rPr>
        <w:t xml:space="preserve"> 1-2 დოზა კეთდება 19-64 წწ ასაკში  რისკფაქტორების და სამედიცინო ჩვენებების გათვალისწინებით</w:t>
      </w:r>
      <w:r w:rsidR="00DC5170">
        <w:rPr>
          <w:lang w:val="ka-GE"/>
        </w:rPr>
        <w:t xml:space="preserve">, ხოლო </w:t>
      </w:r>
      <w:r w:rsidR="00DC5170">
        <w:rPr>
          <w:lang w:val="ka-GE"/>
        </w:rPr>
        <w:t>65 წლის ზემოთ რეკომენდებული 1 აცრის გაკეთება ასაკის, ვაქცინაციის სტატუსის და გადატანილი ინფექციის შესახებ ინფორმაციის ნაკლებობის შემთხვევაში.</w:t>
      </w:r>
    </w:p>
    <w:p w:rsidR="00DC5170" w:rsidRDefault="00DC5170" w:rsidP="00DC5170">
      <w:pPr>
        <w:jc w:val="both"/>
        <w:rPr>
          <w:lang w:val="ka-GE"/>
        </w:rPr>
      </w:pPr>
      <w:r>
        <w:rPr>
          <w:lang w:val="ka-GE"/>
        </w:rPr>
        <w:t>ქვეყნების დიდი ნაწილი (ავსტრია, ბელგია კვიპროსი, დანია, გერმანია, ჩეხეთი,</w:t>
      </w:r>
      <w:r>
        <w:rPr>
          <w:lang w:val="ka-GE"/>
        </w:rPr>
        <w:t xml:space="preserve"> </w:t>
      </w:r>
      <w:r>
        <w:rPr>
          <w:lang w:val="ka-GE"/>
        </w:rPr>
        <w:t xml:space="preserve">ფინეთი  შვედეთი და სხვა),  ასევე აშშ ატარებს რისკ ჯგუფების და უფროსი ასაკის მოსახლეობის ვაქცინაციას PCV13 და PPSV23 ვაქცინებით.  ვაქცინაციის ასაკი, ჯერადობა და ვაქცინის სახეობა დამოკიდებულია ჯანმრთელობის მდგომარეობაზე და სამედიცინო ჩვენებაზე. ზოგიერთი ქვეყნის კალენდარში უფროსი ასაკის მოსახლეობას აცრები უტარდებათ როგორ 13 ვალენტიანი, ასევე 23 ვალენტიანი ვაქცინით (ფინეთი აშშ იტალია ლატვია, ლუქსემბურგი, დანია); ზოგიერთ </w:t>
      </w:r>
      <w:r>
        <w:rPr>
          <w:lang w:val="ka-GE"/>
        </w:rPr>
        <w:lastRenderedPageBreak/>
        <w:t>ქვეყანაში აცრები ტარდება მხოლოდ 13 ვალენტიანი ვაქცინით (ავსტრია ბელგია) ან მხოლოდ 23 ვალენტიანით (ირლანდია ისლანდია, გაერთიანებული სამეფო)</w:t>
      </w:r>
      <w:r w:rsidR="0097645F">
        <w:rPr>
          <w:lang w:val="ka-GE"/>
        </w:rPr>
        <w:t>.</w:t>
      </w:r>
    </w:p>
    <w:p w:rsidR="00DC5170" w:rsidRDefault="00DC5170" w:rsidP="00DC5170">
      <w:pPr>
        <w:jc w:val="both"/>
        <w:rPr>
          <w:lang w:val="ka-GE"/>
        </w:rPr>
      </w:pPr>
      <w:r>
        <w:rPr>
          <w:lang w:val="ka-GE"/>
        </w:rPr>
        <w:t xml:space="preserve">ვაქცინაცია უტარდებათ როგორც ჯანმრთელებს, ასევე პირებს, რომლებსაც აქვთ თანმხლები დაავადებები და იმყოფებიან ინვაზიური პნევმოკოკური ინფექციის განვითარების რისკის ქვეშ.  </w:t>
      </w:r>
    </w:p>
    <w:p w:rsidR="00DA3309" w:rsidRDefault="001C249C" w:rsidP="00DA3309">
      <w:pPr>
        <w:jc w:val="both"/>
        <w:rPr>
          <w:lang w:val="ka-GE"/>
        </w:rPr>
      </w:pPr>
      <w:r>
        <w:rPr>
          <w:lang w:val="ka-GE"/>
        </w:rPr>
        <w:t>იმუნიზაციის ექსპერტთა საბჭოს წევრების მიერ გამოთქმული მოსაზრებების შეჯერების შედეგად, მიზანშეწონილად ჩაითვალა პნევმოკოკური ვაქცინაციის ეტაპობრივად შემოღება. უპირატესად ქრონიკული დაავადებების მქონე პირებში.</w:t>
      </w:r>
    </w:p>
    <w:p w:rsidR="001C249C" w:rsidRDefault="001C249C" w:rsidP="001C249C">
      <w:pPr>
        <w:spacing w:after="120" w:line="240" w:lineRule="auto"/>
        <w:jc w:val="both"/>
        <w:rPr>
          <w:rFonts w:cs="Sylfaen"/>
          <w:lang w:val="ka-GE"/>
        </w:rPr>
      </w:pPr>
      <w:r>
        <w:rPr>
          <w:lang w:val="ka-GE"/>
        </w:rPr>
        <w:t xml:space="preserve">კერძოდ, შემოთავაზებულია სამიზნე პოპულაციის ორი ვარიანტი: (1) </w:t>
      </w:r>
      <w:r>
        <w:rPr>
          <w:rFonts w:cs="Sylfaen"/>
          <w:lang w:val="ka-GE"/>
        </w:rPr>
        <w:t xml:space="preserve">65 წლის და უფროსი ასაკის მოსახლეობა, რომელთაც აქვს 5 ძირითადი ქრონიკული დაავადება: ჰიპერტონული დაავადება, გულის იშემიური დაავადება, დიაბეტი, ფილტვის ქრონიკული ობსტრუქციული დაავადებები და ასთმა. </w:t>
      </w:r>
    </w:p>
    <w:p w:rsidR="001C249C" w:rsidRDefault="001C249C" w:rsidP="00DA3309">
      <w:pPr>
        <w:jc w:val="both"/>
        <w:rPr>
          <w:lang w:val="ka-GE"/>
        </w:rPr>
      </w:pPr>
      <w:r>
        <w:rPr>
          <w:lang w:val="ka-GE"/>
        </w:rPr>
        <w:t>ან,</w:t>
      </w:r>
    </w:p>
    <w:p w:rsidR="001C249C" w:rsidRDefault="001C249C" w:rsidP="001C249C">
      <w:pPr>
        <w:spacing w:after="120" w:line="240" w:lineRule="auto"/>
        <w:jc w:val="both"/>
        <w:rPr>
          <w:rFonts w:cs="Sylfaen"/>
          <w:lang w:val="ka-GE"/>
        </w:rPr>
      </w:pPr>
      <w:r>
        <w:rPr>
          <w:lang w:val="ka-GE"/>
        </w:rPr>
        <w:t xml:space="preserve">(2) </w:t>
      </w:r>
      <w:r>
        <w:rPr>
          <w:rFonts w:cs="Sylfaen"/>
          <w:lang w:val="ka-GE"/>
        </w:rPr>
        <w:t xml:space="preserve">65 წლის და უფროსი ასაკის მოსახლეობა, რომელთაც აქვს 4 ძირითადი ქრონიკული დაავადება: ჰიპერტენზია, გულის იშემიური დაავადება, დიაბეტი და ფილტვის ქრონიკული ობსტრუქციული დაავადებები. </w:t>
      </w:r>
    </w:p>
    <w:p w:rsidR="00181A5D" w:rsidRDefault="00D01036" w:rsidP="00181A5D">
      <w:pPr>
        <w:shd w:val="clear" w:color="auto" w:fill="FFFFFF"/>
        <w:spacing w:after="0" w:line="240" w:lineRule="auto"/>
        <w:jc w:val="both"/>
      </w:pPr>
      <w:r>
        <w:rPr>
          <w:lang w:val="ka-GE"/>
        </w:rPr>
        <w:t xml:space="preserve">ვაქცინის სახეობად, უპირატესობა მიენიჭა </w:t>
      </w:r>
      <w:r>
        <w:rPr>
          <w:b/>
          <w:lang w:val="ka-GE"/>
        </w:rPr>
        <w:t>PCV13</w:t>
      </w:r>
      <w:r>
        <w:rPr>
          <w:b/>
          <w:lang w:val="ka-GE"/>
        </w:rPr>
        <w:t xml:space="preserve">, </w:t>
      </w:r>
      <w:r>
        <w:rPr>
          <w:lang w:val="ka-GE"/>
        </w:rPr>
        <w:t>რომელიც</w:t>
      </w:r>
      <w:r>
        <w:rPr>
          <w:lang w:val="ka-GE"/>
        </w:rPr>
        <w:t xml:space="preserve"> შეიცავს </w:t>
      </w:r>
      <w:r>
        <w:rPr>
          <w:lang w:val="ka-GE"/>
        </w:rPr>
        <w:t>1</w:t>
      </w:r>
      <w:r>
        <w:rPr>
          <w:lang w:val="ka-GE"/>
        </w:rPr>
        <w:t>3 სეროტიპს</w:t>
      </w:r>
      <w:r>
        <w:rPr>
          <w:lang w:val="ka-GE"/>
        </w:rPr>
        <w:t xml:space="preserve"> და</w:t>
      </w:r>
      <w:r>
        <w:rPr>
          <w:lang w:val="ka-GE"/>
        </w:rPr>
        <w:t xml:space="preserve"> არის ჯანმოს მიერ პრეკვალიფიცირებული;</w:t>
      </w:r>
      <w:r w:rsidR="00181A5D">
        <w:t xml:space="preserve"> </w:t>
      </w:r>
    </w:p>
    <w:p w:rsidR="00181A5D" w:rsidRDefault="00181A5D" w:rsidP="00181A5D">
      <w:pPr>
        <w:shd w:val="clear" w:color="auto" w:fill="FFFFFF"/>
        <w:spacing w:after="0" w:line="240" w:lineRule="auto"/>
        <w:jc w:val="both"/>
      </w:pPr>
    </w:p>
    <w:p w:rsidR="00181A5D" w:rsidRDefault="00181A5D" w:rsidP="00181A5D">
      <w:pPr>
        <w:shd w:val="clear" w:color="auto" w:fill="FFFFFF"/>
        <w:spacing w:after="0" w:line="240" w:lineRule="auto"/>
        <w:jc w:val="both"/>
        <w:rPr>
          <w:rFonts w:eastAsia="Times New Roman" w:cs="Segoe UI"/>
        </w:rPr>
      </w:pPr>
      <w:r>
        <w:rPr>
          <w:rFonts w:eastAsia="Times New Roman" w:cs="Sylfaen"/>
          <w:lang w:val="ka-GE"/>
        </w:rPr>
        <w:t xml:space="preserve">ვაქცინის რაოდენობის </w:t>
      </w:r>
      <w:proofErr w:type="spellStart"/>
      <w:r>
        <w:rPr>
          <w:rFonts w:eastAsia="Times New Roman" w:cs="Sylfaen"/>
        </w:rPr>
        <w:t>გათვლები</w:t>
      </w:r>
      <w:proofErr w:type="spellEnd"/>
      <w:r>
        <w:rPr>
          <w:rFonts w:eastAsia="Times New Roman" w:cs="Times New Roman"/>
        </w:rPr>
        <w:t xml:space="preserve"> </w:t>
      </w:r>
      <w:r>
        <w:rPr>
          <w:rFonts w:eastAsia="Times New Roman" w:cs="Times New Roman"/>
          <w:lang w:val="ka-GE"/>
        </w:rPr>
        <w:t xml:space="preserve">გაკეთდა </w:t>
      </w:r>
      <w:r>
        <w:rPr>
          <w:rFonts w:eastAsia="Times New Roman" w:cs="Times New Roman"/>
        </w:rPr>
        <w:t xml:space="preserve">5% </w:t>
      </w:r>
      <w:proofErr w:type="spellStart"/>
      <w:r>
        <w:rPr>
          <w:rFonts w:eastAsia="Times New Roman" w:cs="Sylfaen"/>
        </w:rPr>
        <w:t>და</w:t>
      </w:r>
      <w:proofErr w:type="spellEnd"/>
      <w:r>
        <w:rPr>
          <w:rFonts w:eastAsia="Times New Roman" w:cs="Times New Roman"/>
        </w:rPr>
        <w:t xml:space="preserve"> 10%</w:t>
      </w:r>
      <w:r>
        <w:rPr>
          <w:rFonts w:eastAsia="Times New Roman" w:cs="Times New Roman"/>
          <w:lang w:val="ka-GE"/>
        </w:rPr>
        <w:t xml:space="preserve">-იანი </w:t>
      </w:r>
      <w:proofErr w:type="spellStart"/>
      <w:r>
        <w:rPr>
          <w:rFonts w:eastAsia="Times New Roman" w:cs="Sylfaen"/>
        </w:rPr>
        <w:t>საჭიროებ</w:t>
      </w:r>
      <w:proofErr w:type="spellEnd"/>
      <w:r>
        <w:rPr>
          <w:rFonts w:eastAsia="Times New Roman" w:cs="Sylfaen"/>
          <w:lang w:val="ka-GE"/>
        </w:rPr>
        <w:t>ის</w:t>
      </w:r>
      <w:r>
        <w:rPr>
          <w:rFonts w:eastAsia="Times New Roman" w:cs="Times New Roman"/>
          <w:lang w:val="ka-GE"/>
        </w:rPr>
        <w:t xml:space="preserve"> დაშვებით.</w:t>
      </w:r>
      <w:r>
        <w:rPr>
          <w:rFonts w:eastAsia="Times New Roman" w:cs="Calibri"/>
        </w:rPr>
        <w:t> </w:t>
      </w:r>
    </w:p>
    <w:p w:rsidR="00181A5D" w:rsidRDefault="00181A5D" w:rsidP="00181A5D">
      <w:pPr>
        <w:spacing w:after="120" w:line="240" w:lineRule="auto"/>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186"/>
        <w:gridCol w:w="1796"/>
        <w:gridCol w:w="1796"/>
      </w:tblGrid>
      <w:tr w:rsidR="00181A5D" w:rsidTr="00181A5D">
        <w:trPr>
          <w:trHeight w:val="472"/>
          <w:jc w:val="center"/>
        </w:trPr>
        <w:tc>
          <w:tcPr>
            <w:tcW w:w="3572" w:type="dxa"/>
            <w:tcBorders>
              <w:top w:val="single" w:sz="4" w:space="0" w:color="auto"/>
              <w:left w:val="single" w:sz="4" w:space="0" w:color="auto"/>
              <w:bottom w:val="single" w:sz="4" w:space="0" w:color="auto"/>
              <w:right w:val="single" w:sz="4" w:space="0" w:color="auto"/>
            </w:tcBorders>
            <w:vAlign w:val="center"/>
          </w:tcPr>
          <w:p w:rsidR="00181A5D" w:rsidRDefault="00181A5D">
            <w:pPr>
              <w:spacing w:after="0" w:line="240" w:lineRule="auto"/>
              <w:rPr>
                <w:rFonts w:eastAsia="Times New Roman" w:cs="Calibri"/>
                <w:b/>
                <w:bCs/>
                <w:color w:val="000000"/>
              </w:rPr>
            </w:pPr>
          </w:p>
        </w:tc>
        <w:tc>
          <w:tcPr>
            <w:tcW w:w="2186"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jc w:val="center"/>
              <w:rPr>
                <w:rFonts w:cs="Calibri"/>
                <w:b/>
                <w:bCs/>
                <w:color w:val="000000"/>
                <w:lang w:val="ka-GE"/>
              </w:rPr>
            </w:pPr>
            <w:r>
              <w:rPr>
                <w:rFonts w:cs="Calibri"/>
                <w:b/>
                <w:bCs/>
                <w:color w:val="000000"/>
              </w:rPr>
              <w:t>65+</w:t>
            </w:r>
            <w:r>
              <w:rPr>
                <w:rFonts w:cs="Calibri"/>
                <w:b/>
                <w:bCs/>
                <w:color w:val="000000"/>
                <w:lang w:val="ka-GE"/>
              </w:rPr>
              <w:t xml:space="preserve"> </w:t>
            </w:r>
            <w:r>
              <w:rPr>
                <w:rFonts w:cs="Sylfaen"/>
                <w:b/>
                <w:bCs/>
                <w:color w:val="000000"/>
                <w:lang w:val="ka-GE"/>
              </w:rPr>
              <w:t>სამიზნე</w:t>
            </w:r>
            <w:r>
              <w:rPr>
                <w:rFonts w:cs="Calibri"/>
                <w:b/>
                <w:bCs/>
                <w:color w:val="000000"/>
                <w:lang w:val="ka-GE"/>
              </w:rPr>
              <w:t xml:space="preserve"> </w:t>
            </w:r>
            <w:r>
              <w:rPr>
                <w:rFonts w:cs="Sylfaen"/>
                <w:b/>
                <w:bCs/>
                <w:color w:val="000000"/>
                <w:lang w:val="ka-GE"/>
              </w:rPr>
              <w:t>პოპულაცია</w:t>
            </w:r>
            <w:r>
              <w:rPr>
                <w:rFonts w:cs="Calibri"/>
                <w:b/>
                <w:bCs/>
                <w:color w:val="000000"/>
                <w:lang w:val="ka-GE"/>
              </w:rPr>
              <w:t xml:space="preserve"> </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cs="Calibri"/>
                <w:b/>
                <w:bCs/>
                <w:color w:val="000000"/>
                <w:lang w:val="ka-GE"/>
              </w:rPr>
            </w:pPr>
            <w:r>
              <w:rPr>
                <w:rFonts w:cs="Sylfaen"/>
                <w:b/>
                <w:bCs/>
                <w:color w:val="000000"/>
                <w:lang w:val="ka-GE"/>
              </w:rPr>
              <w:t>ვაქცინაციის</w:t>
            </w:r>
            <w:r>
              <w:rPr>
                <w:rFonts w:cs="Calibri"/>
                <w:b/>
                <w:bCs/>
                <w:color w:val="000000"/>
                <w:lang w:val="ka-GE"/>
              </w:rPr>
              <w:t xml:space="preserve"> </w:t>
            </w:r>
            <w:r>
              <w:rPr>
                <w:rFonts w:cs="Sylfaen"/>
                <w:b/>
                <w:bCs/>
                <w:color w:val="000000"/>
                <w:lang w:val="ka-GE"/>
              </w:rPr>
              <w:t>საჭიროება</w:t>
            </w:r>
            <w:r>
              <w:rPr>
                <w:rFonts w:cs="Calibri"/>
                <w:b/>
                <w:bCs/>
                <w:color w:val="000000"/>
                <w:lang w:val="ka-GE"/>
              </w:rPr>
              <w:t xml:space="preserve"> (5%)</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cs="Calibri"/>
                <w:b/>
                <w:bCs/>
                <w:color w:val="000000"/>
              </w:rPr>
            </w:pPr>
            <w:r>
              <w:rPr>
                <w:rFonts w:cs="Sylfaen"/>
                <w:b/>
                <w:bCs/>
                <w:color w:val="000000"/>
                <w:lang w:val="ka-GE"/>
              </w:rPr>
              <w:t>ვაქცინაციის</w:t>
            </w:r>
            <w:r>
              <w:rPr>
                <w:rFonts w:cs="Calibri"/>
                <w:b/>
                <w:bCs/>
                <w:color w:val="000000"/>
                <w:lang w:val="ka-GE"/>
              </w:rPr>
              <w:t xml:space="preserve"> </w:t>
            </w:r>
            <w:r>
              <w:rPr>
                <w:rFonts w:cs="Sylfaen"/>
                <w:b/>
                <w:bCs/>
                <w:color w:val="000000"/>
                <w:lang w:val="ka-GE"/>
              </w:rPr>
              <w:t>საჭიროება</w:t>
            </w:r>
            <w:r>
              <w:rPr>
                <w:rFonts w:cs="Calibri"/>
                <w:b/>
                <w:bCs/>
                <w:color w:val="000000"/>
                <w:lang w:val="ka-GE"/>
              </w:rPr>
              <w:t xml:space="preserve"> (10%)</w:t>
            </w:r>
          </w:p>
        </w:tc>
      </w:tr>
      <w:tr w:rsidR="00181A5D" w:rsidTr="00181A5D">
        <w:trPr>
          <w:trHeight w:val="292"/>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rPr>
                <w:rFonts w:eastAsia="Times New Roman" w:cs="Calibri"/>
                <w:color w:val="000000"/>
              </w:rPr>
            </w:pPr>
            <w:proofErr w:type="spellStart"/>
            <w:r>
              <w:rPr>
                <w:rFonts w:eastAsia="Times New Roman" w:cs="Sylfaen"/>
                <w:color w:val="000000"/>
              </w:rPr>
              <w:t>ჰიპერტენზიული</w:t>
            </w:r>
            <w:proofErr w:type="spellEnd"/>
            <w:r>
              <w:rPr>
                <w:rFonts w:eastAsia="Times New Roman" w:cs="Calibri"/>
                <w:color w:val="000000"/>
              </w:rPr>
              <w:t xml:space="preserve"> </w:t>
            </w:r>
            <w:proofErr w:type="spellStart"/>
            <w:r>
              <w:rPr>
                <w:rFonts w:eastAsia="Times New Roman" w:cs="Sylfaen"/>
                <w:color w:val="000000"/>
              </w:rPr>
              <w:t>დაავადება</w:t>
            </w:r>
            <w:proofErr w:type="spellEnd"/>
          </w:p>
        </w:tc>
        <w:tc>
          <w:tcPr>
            <w:tcW w:w="2186" w:type="dxa"/>
            <w:tcBorders>
              <w:top w:val="single" w:sz="4" w:space="0" w:color="auto"/>
              <w:left w:val="single" w:sz="4" w:space="0" w:color="auto"/>
              <w:bottom w:val="single" w:sz="4" w:space="0" w:color="auto"/>
              <w:right w:val="single" w:sz="4" w:space="0" w:color="auto"/>
            </w:tcBorders>
            <w:vAlign w:val="bottom"/>
            <w:hideMark/>
          </w:tcPr>
          <w:p w:rsidR="00181A5D" w:rsidRDefault="00181A5D">
            <w:pPr>
              <w:spacing w:after="0" w:line="240" w:lineRule="auto"/>
              <w:jc w:val="center"/>
              <w:rPr>
                <w:rFonts w:eastAsia="Times New Roman" w:cs="Calibri"/>
                <w:color w:val="000000"/>
              </w:rPr>
            </w:pPr>
            <w:r>
              <w:rPr>
                <w:rFonts w:eastAsia="Times New Roman" w:cs="Calibri"/>
                <w:color w:val="000000"/>
              </w:rPr>
              <w:t>110 649</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 5</w:t>
            </w:r>
            <w:r>
              <w:rPr>
                <w:rFonts w:eastAsia="Times New Roman" w:cs="Times New Roman"/>
                <w:b/>
                <w:bCs/>
                <w:color w:val="000000"/>
                <w:lang w:val="ka-GE"/>
              </w:rPr>
              <w:t xml:space="preserve"> </w:t>
            </w:r>
            <w:r>
              <w:rPr>
                <w:rFonts w:eastAsia="Times New Roman" w:cs="Times New Roman"/>
                <w:b/>
                <w:bCs/>
                <w:color w:val="000000"/>
              </w:rPr>
              <w:t>532</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11</w:t>
            </w:r>
            <w:r>
              <w:rPr>
                <w:rFonts w:eastAsia="Times New Roman" w:cs="Times New Roman"/>
                <w:b/>
                <w:bCs/>
                <w:color w:val="000000"/>
                <w:lang w:val="ka-GE"/>
              </w:rPr>
              <w:t xml:space="preserve"> </w:t>
            </w:r>
            <w:r>
              <w:rPr>
                <w:rFonts w:eastAsia="Times New Roman" w:cs="Times New Roman"/>
                <w:b/>
                <w:bCs/>
                <w:color w:val="000000"/>
              </w:rPr>
              <w:t>065</w:t>
            </w:r>
          </w:p>
        </w:tc>
      </w:tr>
      <w:tr w:rsidR="00181A5D" w:rsidTr="00181A5D">
        <w:trPr>
          <w:trHeight w:val="292"/>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rPr>
                <w:rFonts w:eastAsia="Times New Roman" w:cs="Calibri"/>
                <w:color w:val="000000"/>
              </w:rPr>
            </w:pPr>
            <w:proofErr w:type="spellStart"/>
            <w:r>
              <w:rPr>
                <w:rFonts w:eastAsia="Times New Roman" w:cs="Sylfaen"/>
                <w:color w:val="000000"/>
              </w:rPr>
              <w:t>გულის</w:t>
            </w:r>
            <w:proofErr w:type="spellEnd"/>
            <w:r>
              <w:rPr>
                <w:rFonts w:eastAsia="Times New Roman" w:cs="Calibri"/>
                <w:color w:val="000000"/>
              </w:rPr>
              <w:t xml:space="preserve"> </w:t>
            </w:r>
            <w:proofErr w:type="spellStart"/>
            <w:r>
              <w:rPr>
                <w:rFonts w:eastAsia="Times New Roman" w:cs="Sylfaen"/>
                <w:color w:val="000000"/>
              </w:rPr>
              <w:t>იშემიური</w:t>
            </w:r>
            <w:proofErr w:type="spellEnd"/>
            <w:r>
              <w:rPr>
                <w:rFonts w:eastAsia="Times New Roman" w:cs="Calibri"/>
                <w:color w:val="000000"/>
              </w:rPr>
              <w:t xml:space="preserve"> </w:t>
            </w:r>
            <w:proofErr w:type="spellStart"/>
            <w:r>
              <w:rPr>
                <w:rFonts w:eastAsia="Times New Roman" w:cs="Sylfaen"/>
                <w:color w:val="000000"/>
              </w:rPr>
              <w:t>დაავადება</w:t>
            </w:r>
            <w:proofErr w:type="spellEnd"/>
          </w:p>
        </w:tc>
        <w:tc>
          <w:tcPr>
            <w:tcW w:w="2186" w:type="dxa"/>
            <w:tcBorders>
              <w:top w:val="single" w:sz="4" w:space="0" w:color="auto"/>
              <w:left w:val="single" w:sz="4" w:space="0" w:color="auto"/>
              <w:bottom w:val="single" w:sz="4" w:space="0" w:color="auto"/>
              <w:right w:val="single" w:sz="4" w:space="0" w:color="auto"/>
            </w:tcBorders>
            <w:vAlign w:val="bottom"/>
            <w:hideMark/>
          </w:tcPr>
          <w:p w:rsidR="00181A5D" w:rsidRDefault="00181A5D">
            <w:pPr>
              <w:spacing w:after="0" w:line="240" w:lineRule="auto"/>
              <w:jc w:val="center"/>
              <w:rPr>
                <w:rFonts w:eastAsia="Times New Roman" w:cs="Calibri"/>
                <w:color w:val="000000"/>
              </w:rPr>
            </w:pPr>
            <w:r>
              <w:rPr>
                <w:rFonts w:eastAsia="Times New Roman" w:cs="Calibri"/>
                <w:color w:val="000000"/>
              </w:rPr>
              <w:t>37 043</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1</w:t>
            </w:r>
            <w:r>
              <w:rPr>
                <w:rFonts w:eastAsia="Times New Roman" w:cs="Times New Roman"/>
                <w:b/>
                <w:bCs/>
                <w:color w:val="000000"/>
                <w:lang w:val="ka-GE"/>
              </w:rPr>
              <w:t xml:space="preserve"> </w:t>
            </w:r>
            <w:r>
              <w:rPr>
                <w:rFonts w:eastAsia="Times New Roman" w:cs="Times New Roman"/>
                <w:b/>
                <w:bCs/>
                <w:color w:val="000000"/>
              </w:rPr>
              <w:t>852</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3</w:t>
            </w:r>
            <w:r>
              <w:rPr>
                <w:rFonts w:eastAsia="Times New Roman" w:cs="Times New Roman"/>
                <w:b/>
                <w:bCs/>
                <w:color w:val="000000"/>
                <w:lang w:val="ka-GE"/>
              </w:rPr>
              <w:t xml:space="preserve"> </w:t>
            </w:r>
            <w:r>
              <w:rPr>
                <w:rFonts w:eastAsia="Times New Roman" w:cs="Times New Roman"/>
                <w:b/>
                <w:bCs/>
                <w:color w:val="000000"/>
              </w:rPr>
              <w:t>704 </w:t>
            </w:r>
          </w:p>
        </w:tc>
      </w:tr>
      <w:tr w:rsidR="00181A5D" w:rsidTr="00181A5D">
        <w:trPr>
          <w:trHeight w:val="296"/>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rPr>
                <w:rFonts w:eastAsia="Times New Roman" w:cs="Calibri"/>
                <w:color w:val="000000"/>
              </w:rPr>
            </w:pPr>
            <w:proofErr w:type="spellStart"/>
            <w:r>
              <w:rPr>
                <w:rFonts w:eastAsia="Times New Roman" w:cs="Sylfaen"/>
                <w:color w:val="000000"/>
              </w:rPr>
              <w:t>დიაბეტი</w:t>
            </w:r>
            <w:proofErr w:type="spellEnd"/>
          </w:p>
        </w:tc>
        <w:tc>
          <w:tcPr>
            <w:tcW w:w="2186" w:type="dxa"/>
            <w:tcBorders>
              <w:top w:val="single" w:sz="4" w:space="0" w:color="auto"/>
              <w:left w:val="single" w:sz="4" w:space="0" w:color="auto"/>
              <w:bottom w:val="single" w:sz="4" w:space="0" w:color="auto"/>
              <w:right w:val="single" w:sz="4" w:space="0" w:color="auto"/>
            </w:tcBorders>
            <w:vAlign w:val="bottom"/>
            <w:hideMark/>
          </w:tcPr>
          <w:p w:rsidR="00181A5D" w:rsidRDefault="00181A5D">
            <w:pPr>
              <w:spacing w:after="0" w:line="240" w:lineRule="auto"/>
              <w:jc w:val="center"/>
              <w:rPr>
                <w:rFonts w:eastAsia="Times New Roman" w:cs="Calibri"/>
                <w:color w:val="000000"/>
              </w:rPr>
            </w:pPr>
            <w:r>
              <w:rPr>
                <w:rFonts w:eastAsia="Times New Roman" w:cs="Calibri"/>
                <w:color w:val="000000"/>
              </w:rPr>
              <w:t>36 589</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1</w:t>
            </w:r>
            <w:r>
              <w:rPr>
                <w:rFonts w:eastAsia="Times New Roman" w:cs="Times New Roman"/>
                <w:b/>
                <w:bCs/>
                <w:color w:val="000000"/>
                <w:lang w:val="ka-GE"/>
              </w:rPr>
              <w:t xml:space="preserve"> </w:t>
            </w:r>
            <w:r>
              <w:rPr>
                <w:rFonts w:eastAsia="Times New Roman" w:cs="Times New Roman"/>
                <w:b/>
                <w:bCs/>
                <w:color w:val="000000"/>
              </w:rPr>
              <w:t>829</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3</w:t>
            </w:r>
            <w:r>
              <w:rPr>
                <w:rFonts w:eastAsia="Times New Roman" w:cs="Times New Roman"/>
                <w:b/>
                <w:bCs/>
                <w:color w:val="000000"/>
                <w:lang w:val="ka-GE"/>
              </w:rPr>
              <w:t xml:space="preserve"> </w:t>
            </w:r>
            <w:r>
              <w:rPr>
                <w:rFonts w:eastAsia="Times New Roman" w:cs="Times New Roman"/>
                <w:b/>
                <w:bCs/>
                <w:color w:val="000000"/>
              </w:rPr>
              <w:t>659 </w:t>
            </w:r>
          </w:p>
        </w:tc>
      </w:tr>
      <w:tr w:rsidR="00181A5D" w:rsidTr="00181A5D">
        <w:trPr>
          <w:trHeight w:val="292"/>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rPr>
                <w:rFonts w:eastAsia="Times New Roman" w:cs="Calibri"/>
                <w:color w:val="000000"/>
              </w:rPr>
            </w:pPr>
            <w:proofErr w:type="spellStart"/>
            <w:r>
              <w:rPr>
                <w:rFonts w:eastAsia="Times New Roman" w:cs="Sylfaen"/>
                <w:color w:val="000000"/>
              </w:rPr>
              <w:t>ფქოდი</w:t>
            </w:r>
            <w:proofErr w:type="spellEnd"/>
          </w:p>
        </w:tc>
        <w:tc>
          <w:tcPr>
            <w:tcW w:w="2186" w:type="dxa"/>
            <w:tcBorders>
              <w:top w:val="single" w:sz="4" w:space="0" w:color="auto"/>
              <w:left w:val="single" w:sz="4" w:space="0" w:color="auto"/>
              <w:bottom w:val="single" w:sz="4" w:space="0" w:color="auto"/>
              <w:right w:val="single" w:sz="4" w:space="0" w:color="auto"/>
            </w:tcBorders>
            <w:vAlign w:val="bottom"/>
            <w:hideMark/>
          </w:tcPr>
          <w:p w:rsidR="00181A5D" w:rsidRDefault="00181A5D">
            <w:pPr>
              <w:spacing w:after="0" w:line="240" w:lineRule="auto"/>
              <w:jc w:val="center"/>
              <w:rPr>
                <w:rFonts w:eastAsia="Times New Roman" w:cs="Calibri"/>
                <w:color w:val="000000"/>
              </w:rPr>
            </w:pPr>
            <w:r>
              <w:rPr>
                <w:rFonts w:eastAsia="Times New Roman" w:cs="Calibri"/>
                <w:color w:val="000000"/>
              </w:rPr>
              <w:t>7 306</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365</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730 </w:t>
            </w:r>
          </w:p>
        </w:tc>
      </w:tr>
      <w:tr w:rsidR="00181A5D" w:rsidTr="00181A5D">
        <w:trPr>
          <w:trHeight w:val="292"/>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rPr>
                <w:rFonts w:eastAsia="Times New Roman" w:cs="Calibri"/>
                <w:color w:val="000000"/>
              </w:rPr>
            </w:pPr>
            <w:proofErr w:type="spellStart"/>
            <w:r>
              <w:rPr>
                <w:rFonts w:eastAsia="Times New Roman" w:cs="Sylfaen"/>
                <w:color w:val="000000"/>
              </w:rPr>
              <w:t>ასთმა</w:t>
            </w:r>
            <w:proofErr w:type="spellEnd"/>
          </w:p>
        </w:tc>
        <w:tc>
          <w:tcPr>
            <w:tcW w:w="2186" w:type="dxa"/>
            <w:tcBorders>
              <w:top w:val="single" w:sz="4" w:space="0" w:color="auto"/>
              <w:left w:val="single" w:sz="4" w:space="0" w:color="auto"/>
              <w:bottom w:val="single" w:sz="4" w:space="0" w:color="auto"/>
              <w:right w:val="single" w:sz="4" w:space="0" w:color="auto"/>
            </w:tcBorders>
            <w:vAlign w:val="bottom"/>
            <w:hideMark/>
          </w:tcPr>
          <w:p w:rsidR="00181A5D" w:rsidRDefault="00181A5D">
            <w:pPr>
              <w:spacing w:after="0" w:line="240" w:lineRule="auto"/>
              <w:jc w:val="center"/>
              <w:rPr>
                <w:rFonts w:eastAsia="Times New Roman" w:cs="Calibri"/>
                <w:color w:val="000000"/>
              </w:rPr>
            </w:pPr>
            <w:r>
              <w:rPr>
                <w:rFonts w:eastAsia="Times New Roman" w:cs="Calibri"/>
                <w:color w:val="000000"/>
              </w:rPr>
              <w:t>2 097</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105</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210 </w:t>
            </w:r>
          </w:p>
        </w:tc>
      </w:tr>
      <w:tr w:rsidR="00181A5D" w:rsidTr="00181A5D">
        <w:trPr>
          <w:trHeight w:val="292"/>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rPr>
                <w:rFonts w:eastAsia="Times New Roman" w:cs="Calibri"/>
                <w:b/>
                <w:bCs/>
                <w:color w:val="000000"/>
              </w:rPr>
            </w:pPr>
            <w:r>
              <w:rPr>
                <w:rFonts w:eastAsia="Times New Roman" w:cs="Calibri"/>
                <w:b/>
                <w:bCs/>
                <w:color w:val="000000"/>
              </w:rPr>
              <w:t xml:space="preserve">5 </w:t>
            </w:r>
            <w:proofErr w:type="spellStart"/>
            <w:r>
              <w:rPr>
                <w:rFonts w:eastAsia="Times New Roman" w:cs="Sylfaen"/>
                <w:b/>
                <w:bCs/>
                <w:color w:val="000000"/>
              </w:rPr>
              <w:t>დაავადების</w:t>
            </w:r>
            <w:proofErr w:type="spellEnd"/>
            <w:r>
              <w:rPr>
                <w:rFonts w:eastAsia="Times New Roman" w:cs="Calibri"/>
                <w:b/>
                <w:bCs/>
                <w:color w:val="000000"/>
              </w:rPr>
              <w:t xml:space="preserve"> </w:t>
            </w:r>
            <w:proofErr w:type="spellStart"/>
            <w:r>
              <w:rPr>
                <w:rFonts w:eastAsia="Times New Roman" w:cs="Sylfaen"/>
                <w:b/>
                <w:bCs/>
                <w:color w:val="000000"/>
              </w:rPr>
              <w:t>ჯამური</w:t>
            </w:r>
            <w:proofErr w:type="spellEnd"/>
            <w:r>
              <w:rPr>
                <w:rFonts w:eastAsia="Times New Roman" w:cs="Calibri"/>
                <w:b/>
                <w:bCs/>
                <w:color w:val="000000"/>
              </w:rPr>
              <w:t xml:space="preserve"> </w:t>
            </w:r>
            <w:proofErr w:type="spellStart"/>
            <w:r>
              <w:rPr>
                <w:rFonts w:eastAsia="Times New Roman" w:cs="Sylfaen"/>
                <w:b/>
                <w:bCs/>
                <w:color w:val="000000"/>
              </w:rPr>
              <w:t>რაოდენობა</w:t>
            </w:r>
            <w:proofErr w:type="spellEnd"/>
          </w:p>
        </w:tc>
        <w:tc>
          <w:tcPr>
            <w:tcW w:w="2186" w:type="dxa"/>
            <w:tcBorders>
              <w:top w:val="single" w:sz="4" w:space="0" w:color="auto"/>
              <w:left w:val="single" w:sz="4" w:space="0" w:color="auto"/>
              <w:bottom w:val="single" w:sz="4" w:space="0" w:color="auto"/>
              <w:right w:val="single" w:sz="4" w:space="0" w:color="auto"/>
            </w:tcBorders>
            <w:vAlign w:val="bottom"/>
            <w:hideMark/>
          </w:tcPr>
          <w:p w:rsidR="00181A5D" w:rsidRDefault="00181A5D">
            <w:pPr>
              <w:spacing w:after="0" w:line="240" w:lineRule="auto"/>
              <w:jc w:val="center"/>
              <w:rPr>
                <w:rFonts w:eastAsia="Times New Roman" w:cs="Calibri"/>
                <w:b/>
                <w:color w:val="000000"/>
              </w:rPr>
            </w:pPr>
            <w:r>
              <w:rPr>
                <w:rFonts w:eastAsia="Times New Roman" w:cs="Calibri"/>
                <w:b/>
                <w:color w:val="000000"/>
              </w:rPr>
              <w:t>193 684</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9</w:t>
            </w:r>
            <w:r>
              <w:rPr>
                <w:rFonts w:eastAsia="Times New Roman" w:cs="Times New Roman"/>
                <w:b/>
                <w:bCs/>
                <w:color w:val="000000"/>
                <w:lang w:val="ka-GE"/>
              </w:rPr>
              <w:t xml:space="preserve"> </w:t>
            </w:r>
            <w:r>
              <w:rPr>
                <w:rFonts w:eastAsia="Times New Roman" w:cs="Times New Roman"/>
                <w:b/>
                <w:bCs/>
                <w:color w:val="000000"/>
              </w:rPr>
              <w:t>684</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19</w:t>
            </w:r>
            <w:r>
              <w:rPr>
                <w:rFonts w:eastAsia="Times New Roman" w:cs="Times New Roman"/>
                <w:b/>
                <w:bCs/>
                <w:color w:val="000000"/>
                <w:lang w:val="ka-GE"/>
              </w:rPr>
              <w:t xml:space="preserve"> </w:t>
            </w:r>
            <w:r>
              <w:rPr>
                <w:rFonts w:eastAsia="Times New Roman" w:cs="Times New Roman"/>
                <w:b/>
                <w:bCs/>
                <w:color w:val="000000"/>
              </w:rPr>
              <w:t>368 </w:t>
            </w:r>
          </w:p>
        </w:tc>
      </w:tr>
      <w:tr w:rsidR="00181A5D" w:rsidTr="00181A5D">
        <w:trPr>
          <w:trHeight w:val="292"/>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rPr>
                <w:rFonts w:eastAsia="Times New Roman" w:cs="Calibri"/>
                <w:b/>
                <w:bCs/>
                <w:color w:val="000000"/>
              </w:rPr>
            </w:pPr>
            <w:r>
              <w:rPr>
                <w:rFonts w:eastAsia="Times New Roman" w:cs="Calibri"/>
                <w:b/>
                <w:bCs/>
                <w:color w:val="000000"/>
              </w:rPr>
              <w:t xml:space="preserve">4 </w:t>
            </w:r>
            <w:proofErr w:type="spellStart"/>
            <w:r>
              <w:rPr>
                <w:rFonts w:eastAsia="Times New Roman" w:cs="Sylfaen"/>
                <w:b/>
                <w:bCs/>
                <w:color w:val="000000"/>
              </w:rPr>
              <w:t>დაავადების</w:t>
            </w:r>
            <w:proofErr w:type="spellEnd"/>
            <w:r>
              <w:rPr>
                <w:rFonts w:eastAsia="Times New Roman" w:cs="Calibri"/>
                <w:b/>
                <w:bCs/>
                <w:color w:val="000000"/>
              </w:rPr>
              <w:t xml:space="preserve"> </w:t>
            </w:r>
            <w:proofErr w:type="spellStart"/>
            <w:r>
              <w:rPr>
                <w:rFonts w:eastAsia="Times New Roman" w:cs="Sylfaen"/>
                <w:b/>
                <w:bCs/>
                <w:color w:val="000000"/>
              </w:rPr>
              <w:t>ჯამური</w:t>
            </w:r>
            <w:proofErr w:type="spellEnd"/>
            <w:r>
              <w:rPr>
                <w:rFonts w:eastAsia="Times New Roman" w:cs="Calibri"/>
                <w:b/>
                <w:bCs/>
                <w:color w:val="000000"/>
              </w:rPr>
              <w:t xml:space="preserve"> </w:t>
            </w:r>
            <w:proofErr w:type="spellStart"/>
            <w:r>
              <w:rPr>
                <w:rFonts w:eastAsia="Times New Roman" w:cs="Sylfaen"/>
                <w:b/>
                <w:bCs/>
                <w:color w:val="000000"/>
              </w:rPr>
              <w:t>რაოდენობა</w:t>
            </w:r>
            <w:proofErr w:type="spellEnd"/>
            <w:r>
              <w:rPr>
                <w:rFonts w:eastAsia="Times New Roman" w:cs="Calibri"/>
                <w:b/>
                <w:bCs/>
                <w:color w:val="000000"/>
                <w:lang w:val="ka-GE"/>
              </w:rPr>
              <w:t xml:space="preserve"> </w:t>
            </w:r>
          </w:p>
        </w:tc>
        <w:tc>
          <w:tcPr>
            <w:tcW w:w="2186" w:type="dxa"/>
            <w:tcBorders>
              <w:top w:val="single" w:sz="4" w:space="0" w:color="auto"/>
              <w:left w:val="single" w:sz="4" w:space="0" w:color="auto"/>
              <w:bottom w:val="single" w:sz="4" w:space="0" w:color="auto"/>
              <w:right w:val="single" w:sz="4" w:space="0" w:color="auto"/>
            </w:tcBorders>
            <w:vAlign w:val="center"/>
            <w:hideMark/>
          </w:tcPr>
          <w:p w:rsidR="00181A5D" w:rsidRDefault="00181A5D">
            <w:pPr>
              <w:spacing w:after="0" w:line="240" w:lineRule="auto"/>
              <w:jc w:val="center"/>
              <w:rPr>
                <w:rFonts w:eastAsia="Times New Roman" w:cs="Calibri"/>
                <w:b/>
                <w:color w:val="000000"/>
              </w:rPr>
            </w:pPr>
            <w:r>
              <w:rPr>
                <w:rFonts w:eastAsia="Times New Roman" w:cs="Calibri"/>
                <w:b/>
                <w:color w:val="000000"/>
              </w:rPr>
              <w:t>191 587</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9</w:t>
            </w:r>
            <w:r>
              <w:rPr>
                <w:rFonts w:eastAsia="Times New Roman" w:cs="Times New Roman"/>
                <w:b/>
                <w:bCs/>
                <w:color w:val="000000"/>
                <w:lang w:val="ka-GE"/>
              </w:rPr>
              <w:t xml:space="preserve"> </w:t>
            </w:r>
            <w:r>
              <w:rPr>
                <w:rFonts w:eastAsia="Times New Roman" w:cs="Times New Roman"/>
                <w:b/>
                <w:bCs/>
                <w:color w:val="000000"/>
              </w:rPr>
              <w:t>580</w:t>
            </w:r>
          </w:p>
        </w:tc>
        <w:tc>
          <w:tcPr>
            <w:tcW w:w="1796" w:type="dxa"/>
            <w:tcBorders>
              <w:top w:val="single" w:sz="4" w:space="0" w:color="auto"/>
              <w:left w:val="single" w:sz="4" w:space="0" w:color="auto"/>
              <w:bottom w:val="single" w:sz="4" w:space="0" w:color="auto"/>
              <w:right w:val="single" w:sz="4" w:space="0" w:color="auto"/>
            </w:tcBorders>
            <w:hideMark/>
          </w:tcPr>
          <w:p w:rsidR="00181A5D" w:rsidRDefault="00181A5D">
            <w:pPr>
              <w:spacing w:after="0" w:line="240" w:lineRule="auto"/>
              <w:jc w:val="center"/>
              <w:rPr>
                <w:rFonts w:eastAsia="Times New Roman" w:cs="Segoe UI"/>
                <w:color w:val="212121"/>
              </w:rPr>
            </w:pPr>
            <w:r>
              <w:rPr>
                <w:rFonts w:eastAsia="Times New Roman" w:cs="Times New Roman"/>
                <w:b/>
                <w:bCs/>
                <w:color w:val="000000"/>
              </w:rPr>
              <w:t>19 160</w:t>
            </w:r>
          </w:p>
        </w:tc>
      </w:tr>
    </w:tbl>
    <w:p w:rsidR="001C249C" w:rsidRDefault="001C249C" w:rsidP="00DA3309">
      <w:pPr>
        <w:jc w:val="both"/>
      </w:pPr>
    </w:p>
    <w:p w:rsidR="00181A5D" w:rsidRDefault="00181A5D" w:rsidP="00181A5D">
      <w:pPr>
        <w:shd w:val="clear" w:color="auto" w:fill="FFFFFF"/>
        <w:jc w:val="both"/>
        <w:rPr>
          <w:rFonts w:eastAsia="Times New Roman" w:cs="Segoe UI"/>
        </w:rPr>
      </w:pPr>
      <w:proofErr w:type="spellStart"/>
      <w:proofErr w:type="gramStart"/>
      <w:r>
        <w:rPr>
          <w:rFonts w:eastAsia="Times New Roman" w:cs="Sylfaen"/>
        </w:rPr>
        <w:t>ამ</w:t>
      </w:r>
      <w:proofErr w:type="spellEnd"/>
      <w:proofErr w:type="gramEnd"/>
      <w:r>
        <w:rPr>
          <w:rFonts w:eastAsia="Times New Roman" w:cs="Times New Roman"/>
        </w:rPr>
        <w:t xml:space="preserve"> </w:t>
      </w:r>
      <w:proofErr w:type="spellStart"/>
      <w:r>
        <w:rPr>
          <w:rFonts w:eastAsia="Times New Roman" w:cs="Sylfaen"/>
        </w:rPr>
        <w:t>რაოდენობას</w:t>
      </w:r>
      <w:proofErr w:type="spellEnd"/>
      <w:r>
        <w:rPr>
          <w:rFonts w:eastAsia="Times New Roman" w:cs="Times New Roman"/>
        </w:rPr>
        <w:t xml:space="preserve"> </w:t>
      </w:r>
      <w:proofErr w:type="spellStart"/>
      <w:r>
        <w:rPr>
          <w:rFonts w:eastAsia="Times New Roman" w:cs="Sylfaen"/>
        </w:rPr>
        <w:t>შესაძლებელია</w:t>
      </w:r>
      <w:proofErr w:type="spellEnd"/>
      <w:r>
        <w:rPr>
          <w:rFonts w:eastAsia="Times New Roman" w:cs="Times New Roman"/>
        </w:rPr>
        <w:t xml:space="preserve"> </w:t>
      </w:r>
      <w:proofErr w:type="spellStart"/>
      <w:r>
        <w:rPr>
          <w:rFonts w:eastAsia="Times New Roman" w:cs="Sylfaen"/>
        </w:rPr>
        <w:t>დაემატოს</w:t>
      </w:r>
      <w:proofErr w:type="spellEnd"/>
      <w:r>
        <w:rPr>
          <w:rFonts w:eastAsia="Times New Roman" w:cs="Times New Roman"/>
        </w:rPr>
        <w:t xml:space="preserve"> </w:t>
      </w:r>
      <w:proofErr w:type="spellStart"/>
      <w:r>
        <w:rPr>
          <w:rFonts w:eastAsia="Times New Roman" w:cs="Sylfaen"/>
        </w:rPr>
        <w:t>თავშესაფრების</w:t>
      </w:r>
      <w:proofErr w:type="spellEnd"/>
      <w:r>
        <w:rPr>
          <w:rFonts w:eastAsia="Times New Roman" w:cs="Times New Roman"/>
        </w:rPr>
        <w:t xml:space="preserve"> </w:t>
      </w:r>
      <w:r>
        <w:rPr>
          <w:rFonts w:eastAsia="Times New Roman" w:cs="Times New Roman"/>
          <w:lang w:val="ka-GE"/>
        </w:rPr>
        <w:t>(</w:t>
      </w:r>
      <w:r>
        <w:rPr>
          <w:rFonts w:eastAsia="Times New Roman" w:cs="Times New Roman"/>
        </w:rPr>
        <w:t>1 000</w:t>
      </w:r>
      <w:r>
        <w:rPr>
          <w:rFonts w:eastAsia="Times New Roman" w:cs="Times New Roman"/>
          <w:lang w:val="ka-GE"/>
        </w:rPr>
        <w:t>-</w:t>
      </w:r>
      <w:proofErr w:type="spellStart"/>
      <w:r>
        <w:rPr>
          <w:rFonts w:eastAsia="Times New Roman" w:cs="Sylfaen"/>
        </w:rPr>
        <w:t>მდე</w:t>
      </w:r>
      <w:proofErr w:type="spellEnd"/>
      <w:r>
        <w:rPr>
          <w:rFonts w:eastAsia="Times New Roman" w:cs="Sylfaen"/>
          <w:lang w:val="ka-GE"/>
        </w:rPr>
        <w:t>)</w:t>
      </w:r>
      <w:r>
        <w:rPr>
          <w:rFonts w:eastAsia="Times New Roman" w:cs="Times New Roman"/>
          <w:lang w:val="ka-GE"/>
        </w:rPr>
        <w:t xml:space="preserve"> </w:t>
      </w:r>
      <w:proofErr w:type="spellStart"/>
      <w:r>
        <w:rPr>
          <w:rFonts w:eastAsia="Times New Roman" w:cs="Sylfaen"/>
        </w:rPr>
        <w:t>ბენეფიციარი</w:t>
      </w:r>
      <w:proofErr w:type="spellEnd"/>
      <w:r>
        <w:rPr>
          <w:rFonts w:eastAsia="Times New Roman" w:cs="Sylfaen"/>
          <w:lang w:val="ka-GE"/>
        </w:rPr>
        <w:t>.</w:t>
      </w:r>
      <w:r>
        <w:rPr>
          <w:rFonts w:eastAsia="Times New Roman" w:cs="Times New Roman"/>
        </w:rPr>
        <w:t xml:space="preserve"> </w:t>
      </w:r>
      <w:r w:rsidR="005B3C89">
        <w:rPr>
          <w:rFonts w:eastAsia="Times New Roman" w:cs="Times New Roman"/>
          <w:lang w:val="ka-GE"/>
        </w:rPr>
        <w:t xml:space="preserve">ვაქცინების ჯამურ რაოდენობას, </w:t>
      </w:r>
      <w:r>
        <w:rPr>
          <w:rFonts w:eastAsia="Times New Roman" w:cs="Times New Roman"/>
        </w:rPr>
        <w:t>5%-</w:t>
      </w:r>
      <w:proofErr w:type="spellStart"/>
      <w:r>
        <w:rPr>
          <w:rFonts w:eastAsia="Times New Roman" w:cs="Sylfaen"/>
        </w:rPr>
        <w:t>ზე</w:t>
      </w:r>
      <w:proofErr w:type="spellEnd"/>
      <w:r>
        <w:rPr>
          <w:rFonts w:eastAsia="Times New Roman" w:cs="Times New Roman"/>
        </w:rPr>
        <w:t xml:space="preserve"> </w:t>
      </w:r>
      <w:proofErr w:type="spellStart"/>
      <w:r>
        <w:rPr>
          <w:rFonts w:eastAsia="Times New Roman" w:cs="Sylfaen"/>
        </w:rPr>
        <w:t>გაანგარიშებით</w:t>
      </w:r>
      <w:proofErr w:type="spellEnd"/>
      <w:r>
        <w:rPr>
          <w:rFonts w:eastAsia="Times New Roman" w:cs="Sylfaen"/>
          <w:lang w:val="ka-GE"/>
        </w:rPr>
        <w:t>, დაემატება</w:t>
      </w:r>
      <w:r>
        <w:rPr>
          <w:rFonts w:eastAsia="Times New Roman" w:cs="Times New Roman"/>
        </w:rPr>
        <w:t xml:space="preserve"> 50 </w:t>
      </w:r>
      <w:proofErr w:type="spellStart"/>
      <w:r>
        <w:rPr>
          <w:rFonts w:eastAsia="Times New Roman" w:cs="Sylfaen"/>
        </w:rPr>
        <w:t>დოზა</w:t>
      </w:r>
      <w:proofErr w:type="spellEnd"/>
      <w:r>
        <w:rPr>
          <w:rFonts w:eastAsia="Times New Roman" w:cs="Times New Roman"/>
        </w:rPr>
        <w:t>.</w:t>
      </w:r>
    </w:p>
    <w:p w:rsidR="00181A5D" w:rsidRPr="005B3C89" w:rsidRDefault="00181A5D" w:rsidP="00181A5D">
      <w:pPr>
        <w:shd w:val="clear" w:color="auto" w:fill="FFFFFF"/>
        <w:spacing w:after="0" w:line="240" w:lineRule="auto"/>
        <w:jc w:val="both"/>
        <w:rPr>
          <w:rFonts w:eastAsia="Times New Roman" w:cs="Segoe UI"/>
        </w:rPr>
      </w:pPr>
      <w:r>
        <w:rPr>
          <w:rFonts w:eastAsia="Times New Roman" w:cs="Sylfaen"/>
          <w:bCs/>
          <w:lang w:val="ka-GE"/>
        </w:rPr>
        <w:t>ზემოაღნიშნულის გათვალისწინებით, იმუნიზაციის ექსპერტთა ტექნიკუ</w:t>
      </w:r>
      <w:r w:rsidR="005B3C89">
        <w:rPr>
          <w:rFonts w:eastAsia="Times New Roman" w:cs="Sylfaen"/>
          <w:bCs/>
          <w:lang w:val="ka-GE"/>
        </w:rPr>
        <w:t xml:space="preserve">რი საბჭოს გადაწყვეტილებით, </w:t>
      </w:r>
      <w:proofErr w:type="spellStart"/>
      <w:r>
        <w:rPr>
          <w:rFonts w:eastAsia="Times New Roman" w:cs="Sylfaen"/>
          <w:bCs/>
        </w:rPr>
        <w:t>ვაქცინა</w:t>
      </w:r>
      <w:proofErr w:type="spellEnd"/>
      <w:r>
        <w:rPr>
          <w:rFonts w:eastAsia="Times New Roman" w:cs="Sylfaen"/>
          <w:bCs/>
          <w:lang w:val="ka-GE"/>
        </w:rPr>
        <w:t xml:space="preserve">ციის დანერგვის </w:t>
      </w:r>
      <w:proofErr w:type="spellStart"/>
      <w:r>
        <w:rPr>
          <w:rFonts w:eastAsia="Times New Roman" w:cs="Sylfaen"/>
          <w:bCs/>
        </w:rPr>
        <w:t>პირველ</w:t>
      </w:r>
      <w:proofErr w:type="spellEnd"/>
      <w:r>
        <w:rPr>
          <w:rFonts w:eastAsia="Times New Roman" w:cs="Times New Roman"/>
          <w:bCs/>
        </w:rPr>
        <w:t xml:space="preserve"> </w:t>
      </w:r>
      <w:proofErr w:type="spellStart"/>
      <w:r>
        <w:rPr>
          <w:rFonts w:eastAsia="Times New Roman" w:cs="Sylfaen"/>
          <w:bCs/>
        </w:rPr>
        <w:t>წელს</w:t>
      </w:r>
      <w:proofErr w:type="spellEnd"/>
      <w:r>
        <w:rPr>
          <w:rFonts w:eastAsia="Times New Roman" w:cs="Sylfaen"/>
          <w:bCs/>
          <w:lang w:val="ka-GE"/>
        </w:rPr>
        <w:t>, მიზანშეწონილა</w:t>
      </w:r>
      <w:r w:rsidR="005B3C89">
        <w:rPr>
          <w:rFonts w:eastAsia="Times New Roman" w:cs="Sylfaen"/>
          <w:bCs/>
          <w:lang w:val="ka-GE"/>
        </w:rPr>
        <w:t>დ ჩაითვალა</w:t>
      </w:r>
      <w:r>
        <w:rPr>
          <w:rFonts w:eastAsia="Times New Roman" w:cs="Sylfaen"/>
          <w:bCs/>
          <w:lang w:val="ka-GE"/>
        </w:rPr>
        <w:t>,</w:t>
      </w:r>
      <w:r>
        <w:rPr>
          <w:rFonts w:eastAsia="Times New Roman" w:cs="Times New Roman"/>
          <w:bCs/>
          <w:lang w:val="ka-GE"/>
        </w:rPr>
        <w:t xml:space="preserve"> </w:t>
      </w:r>
      <w:proofErr w:type="spellStart"/>
      <w:r>
        <w:rPr>
          <w:rFonts w:eastAsia="Times New Roman" w:cs="Sylfaen"/>
          <w:bCs/>
        </w:rPr>
        <w:t>შესყიდულ</w:t>
      </w:r>
      <w:proofErr w:type="spellEnd"/>
      <w:r>
        <w:rPr>
          <w:rFonts w:eastAsia="Times New Roman" w:cs="Times New Roman"/>
          <w:bCs/>
        </w:rPr>
        <w:t xml:space="preserve"> </w:t>
      </w:r>
      <w:proofErr w:type="spellStart"/>
      <w:r>
        <w:rPr>
          <w:rFonts w:eastAsia="Times New Roman" w:cs="Sylfaen"/>
          <w:bCs/>
        </w:rPr>
        <w:t>იქნას</w:t>
      </w:r>
      <w:proofErr w:type="spellEnd"/>
      <w:r>
        <w:rPr>
          <w:rFonts w:eastAsia="Times New Roman" w:cs="Calibri"/>
          <w:bCs/>
        </w:rPr>
        <w:t>  </w:t>
      </w:r>
      <w:proofErr w:type="spellStart"/>
      <w:r>
        <w:rPr>
          <w:rFonts w:eastAsia="Times New Roman" w:cs="Sylfaen"/>
          <w:bCs/>
        </w:rPr>
        <w:t>საერთო</w:t>
      </w:r>
      <w:proofErr w:type="spellEnd"/>
      <w:r>
        <w:rPr>
          <w:rFonts w:eastAsia="Times New Roman" w:cs="Times New Roman"/>
          <w:bCs/>
        </w:rPr>
        <w:t xml:space="preserve"> </w:t>
      </w:r>
      <w:proofErr w:type="spellStart"/>
      <w:r>
        <w:rPr>
          <w:rFonts w:eastAsia="Times New Roman" w:cs="Sylfaen"/>
          <w:bCs/>
        </w:rPr>
        <w:t>საჭიროების</w:t>
      </w:r>
      <w:proofErr w:type="spellEnd"/>
      <w:r>
        <w:rPr>
          <w:rFonts w:eastAsia="Times New Roman" w:cs="Calibri"/>
          <w:bCs/>
        </w:rPr>
        <w:t>  </w:t>
      </w:r>
      <w:r>
        <w:rPr>
          <w:rFonts w:eastAsia="Times New Roman" w:cs="Times New Roman"/>
          <w:bCs/>
        </w:rPr>
        <w:t>5%</w:t>
      </w:r>
      <w:r>
        <w:rPr>
          <w:rFonts w:eastAsia="Times New Roman" w:cs="Times New Roman"/>
          <w:bCs/>
          <w:lang w:val="ka-GE"/>
        </w:rPr>
        <w:t xml:space="preserve">, </w:t>
      </w:r>
      <w:proofErr w:type="spellStart"/>
      <w:r>
        <w:rPr>
          <w:rFonts w:eastAsia="Times New Roman" w:cs="Sylfaen"/>
          <w:bCs/>
        </w:rPr>
        <w:t>ანუ</w:t>
      </w:r>
      <w:proofErr w:type="spellEnd"/>
      <w:r>
        <w:rPr>
          <w:rFonts w:eastAsia="Times New Roman" w:cs="Calibri"/>
          <w:bCs/>
        </w:rPr>
        <w:t>  </w:t>
      </w:r>
      <w:r>
        <w:rPr>
          <w:rFonts w:eastAsia="Times New Roman" w:cs="Times New Roman"/>
          <w:bCs/>
        </w:rPr>
        <w:t>9684</w:t>
      </w:r>
      <w:r>
        <w:rPr>
          <w:rFonts w:eastAsia="Times New Roman" w:cs="Times New Roman"/>
          <w:bCs/>
          <w:lang w:val="ka-GE"/>
        </w:rPr>
        <w:t xml:space="preserve"> </w:t>
      </w:r>
      <w:r>
        <w:rPr>
          <w:rFonts w:eastAsia="Times New Roman" w:cs="Times New Roman"/>
          <w:bCs/>
        </w:rPr>
        <w:t>+</w:t>
      </w:r>
      <w:r>
        <w:rPr>
          <w:rFonts w:eastAsia="Times New Roman" w:cs="Times New Roman"/>
          <w:bCs/>
          <w:lang w:val="ka-GE"/>
        </w:rPr>
        <w:t xml:space="preserve"> </w:t>
      </w:r>
      <w:r>
        <w:rPr>
          <w:rFonts w:eastAsia="Times New Roman" w:cs="Times New Roman"/>
          <w:bCs/>
        </w:rPr>
        <w:t>50</w:t>
      </w:r>
      <w:r>
        <w:rPr>
          <w:rFonts w:eastAsia="Times New Roman" w:cs="Times New Roman"/>
          <w:bCs/>
          <w:lang w:val="ka-GE"/>
        </w:rPr>
        <w:t xml:space="preserve"> </w:t>
      </w:r>
      <w:r>
        <w:rPr>
          <w:rFonts w:eastAsia="Times New Roman" w:cs="Times New Roman"/>
          <w:bCs/>
        </w:rPr>
        <w:t xml:space="preserve">= </w:t>
      </w:r>
      <w:r>
        <w:rPr>
          <w:rFonts w:eastAsia="Times New Roman" w:cs="Times New Roman"/>
          <w:b/>
          <w:bCs/>
        </w:rPr>
        <w:t xml:space="preserve">9740 </w:t>
      </w:r>
      <w:proofErr w:type="spellStart"/>
      <w:r>
        <w:rPr>
          <w:rFonts w:eastAsia="Times New Roman" w:cs="Sylfaen"/>
          <w:b/>
          <w:bCs/>
        </w:rPr>
        <w:t>დოზა</w:t>
      </w:r>
      <w:proofErr w:type="spellEnd"/>
      <w:r w:rsidR="005B3C89">
        <w:rPr>
          <w:rFonts w:eastAsia="Times New Roman" w:cs="Sylfaen"/>
          <w:b/>
          <w:bCs/>
          <w:lang w:val="ka-GE"/>
        </w:rPr>
        <w:t>.</w:t>
      </w:r>
    </w:p>
    <w:p w:rsidR="00181A5D" w:rsidRDefault="00181A5D" w:rsidP="00DA3309">
      <w:pPr>
        <w:jc w:val="both"/>
      </w:pPr>
    </w:p>
    <w:p w:rsidR="0059607F" w:rsidRPr="0059607F" w:rsidRDefault="003602B1" w:rsidP="003602B1">
      <w:pPr>
        <w:jc w:val="both"/>
        <w:rPr>
          <w:rFonts w:cs="Calibri"/>
          <w:color w:val="000000"/>
          <w:lang w:val="ka-GE"/>
        </w:rPr>
      </w:pPr>
      <w:r>
        <w:rPr>
          <w:lang w:val="ka-GE"/>
        </w:rPr>
        <w:lastRenderedPageBreak/>
        <w:t>რაც შეეხება, ღირებულებას, მოგახსენებთ, რომ საქართველოში აღნიშნული ვაქცინა გამოიყენება კომერციულ სექტორში და მისი შემოტანა ხორციელდება ინდივიდუალური საჭიროებებისთვის, სადაც ვაქცინის ღირებულება ფიქსირდება დახლოებით 200-260 ლარის ფარგლებში. აღნიშნულის გათვალისწინებით, მოცემული სამიზნე ჯგუფის ვაქცინირებისთვის საჭირო ვაქცინის სავარაუდო ბიუჯეტი შეადგენს დაახლოებით 1 948 000- 2 532 400 ლარს.</w:t>
      </w:r>
      <w:r w:rsidR="00A2620E">
        <w:rPr>
          <w:lang w:val="ka-GE"/>
        </w:rPr>
        <w:t xml:space="preserve"> </w:t>
      </w:r>
    </w:p>
    <w:p w:rsidR="003B4311" w:rsidRPr="0059607F" w:rsidRDefault="00A2620E" w:rsidP="003B4311">
      <w:pPr>
        <w:spacing w:after="0" w:line="240" w:lineRule="auto"/>
        <w:jc w:val="both"/>
        <w:rPr>
          <w:rFonts w:cs="Calibri"/>
          <w:lang w:val="ka-GE"/>
        </w:rPr>
      </w:pPr>
      <w:r>
        <w:rPr>
          <w:rFonts w:cs="Calibri"/>
          <w:lang w:val="ka-GE"/>
        </w:rPr>
        <w:t>დანართის სახით, დამატებით წარმოგიდგენთ იმუნიზაციის ტექნიკურ ექსპერტთა საბჭოს მიერ მომზადებულ დოკუმენტს 65 წელს ზემოთ პირების პნევმოკოკის საწინააღმდეგო ვაქცინაციასთან დაკავშირებით.</w:t>
      </w:r>
    </w:p>
    <w:p w:rsidR="00A2620E" w:rsidRDefault="00A2620E" w:rsidP="00ED2EF4">
      <w:pPr>
        <w:jc w:val="both"/>
        <w:rPr>
          <w:lang w:val="ka-GE"/>
        </w:rPr>
      </w:pPr>
    </w:p>
    <w:p w:rsidR="00ED2EF4" w:rsidRPr="0059607F" w:rsidRDefault="00ED2EF4" w:rsidP="00ED2EF4">
      <w:pPr>
        <w:jc w:val="both"/>
        <w:rPr>
          <w:lang w:val="ka-GE"/>
        </w:rPr>
      </w:pPr>
      <w:r w:rsidRPr="0059607F">
        <w:rPr>
          <w:lang w:val="ka-GE"/>
        </w:rPr>
        <w:t>თქვენი თანხმობის შემთხვევაში, გთხოვთ, დაავალოთ შესაბამის სამსახურ</w:t>
      </w:r>
      <w:r w:rsidR="00A2620E">
        <w:rPr>
          <w:lang w:val="ka-GE"/>
        </w:rPr>
        <w:t>ებ</w:t>
      </w:r>
      <w:r w:rsidRPr="0059607F">
        <w:rPr>
          <w:lang w:val="ka-GE"/>
        </w:rPr>
        <w:t xml:space="preserve">ს </w:t>
      </w:r>
      <w:r w:rsidR="00A2620E">
        <w:rPr>
          <w:lang w:val="ka-GE"/>
        </w:rPr>
        <w:t xml:space="preserve">პროექტის განხორციელებისათვის შესაბამისი საბიუჯეტო რესურსის მოძიება და </w:t>
      </w:r>
      <w:r w:rsidRPr="0059607F">
        <w:rPr>
          <w:lang w:val="ka-GE"/>
        </w:rPr>
        <w:t>საჭირო ღონისძიებების გატარება.</w:t>
      </w:r>
    </w:p>
    <w:p w:rsidR="00ED2EF4" w:rsidRPr="0059607F" w:rsidRDefault="00ED2EF4" w:rsidP="00ED2EF4">
      <w:pPr>
        <w:jc w:val="both"/>
        <w:rPr>
          <w:lang w:val="ka-GE"/>
        </w:rPr>
      </w:pPr>
    </w:p>
    <w:p w:rsidR="00ED2EF4" w:rsidRPr="0059607F" w:rsidRDefault="00ED2EF4" w:rsidP="00ED2EF4">
      <w:pPr>
        <w:jc w:val="both"/>
        <w:rPr>
          <w:lang w:val="ka-GE"/>
        </w:rPr>
      </w:pPr>
      <w:r w:rsidRPr="0059607F">
        <w:rPr>
          <w:lang w:val="ka-GE"/>
        </w:rPr>
        <w:t>პატივისცემით,</w:t>
      </w:r>
    </w:p>
    <w:p w:rsidR="00ED2EF4" w:rsidRPr="0059607F" w:rsidRDefault="00ED2EF4" w:rsidP="00ED2EF4">
      <w:pPr>
        <w:jc w:val="both"/>
        <w:rPr>
          <w:rFonts w:eastAsia="Times New Roman" w:cs="Sylfaen"/>
          <w:b/>
          <w:lang w:val="ka-GE"/>
        </w:rPr>
      </w:pPr>
      <w:bookmarkStart w:id="0" w:name="_GoBack"/>
      <w:bookmarkEnd w:id="0"/>
    </w:p>
    <w:p w:rsidR="00ED2EF4" w:rsidRPr="0059607F" w:rsidRDefault="00ED2EF4" w:rsidP="00ED2EF4">
      <w:pPr>
        <w:jc w:val="center"/>
        <w:rPr>
          <w:rFonts w:eastAsia="Times New Roman" w:cs="Sylfaen"/>
          <w:b/>
          <w:bCs/>
          <w:lang w:val="ka-GE"/>
        </w:rPr>
      </w:pPr>
    </w:p>
    <w:p w:rsidR="00ED2EF4" w:rsidRPr="0059607F" w:rsidRDefault="00ED2EF4" w:rsidP="00ED2EF4">
      <w:pPr>
        <w:pStyle w:val="ListParagraph"/>
        <w:spacing w:after="0"/>
        <w:ind w:left="0"/>
        <w:jc w:val="both"/>
        <w:rPr>
          <w:lang w:val="ka-GE"/>
        </w:rPr>
      </w:pPr>
    </w:p>
    <w:sectPr w:rsidR="00ED2EF4" w:rsidRPr="0059607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961B0"/>
    <w:multiLevelType w:val="multilevel"/>
    <w:tmpl w:val="BB6A82B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FE"/>
    <w:rsid w:val="000C7600"/>
    <w:rsid w:val="001005CE"/>
    <w:rsid w:val="00144BFE"/>
    <w:rsid w:val="00181A5D"/>
    <w:rsid w:val="001C249C"/>
    <w:rsid w:val="003602B1"/>
    <w:rsid w:val="003B4311"/>
    <w:rsid w:val="003D7497"/>
    <w:rsid w:val="00451144"/>
    <w:rsid w:val="00527036"/>
    <w:rsid w:val="0059607F"/>
    <w:rsid w:val="005B3C89"/>
    <w:rsid w:val="00602F51"/>
    <w:rsid w:val="00642E90"/>
    <w:rsid w:val="00691396"/>
    <w:rsid w:val="00691872"/>
    <w:rsid w:val="007261B7"/>
    <w:rsid w:val="00792363"/>
    <w:rsid w:val="007F4A84"/>
    <w:rsid w:val="00840671"/>
    <w:rsid w:val="00912A6D"/>
    <w:rsid w:val="0097645F"/>
    <w:rsid w:val="00A2620E"/>
    <w:rsid w:val="00A449B7"/>
    <w:rsid w:val="00AD2332"/>
    <w:rsid w:val="00BB5E65"/>
    <w:rsid w:val="00BF7783"/>
    <w:rsid w:val="00C66619"/>
    <w:rsid w:val="00D01036"/>
    <w:rsid w:val="00DA3309"/>
    <w:rsid w:val="00DC5170"/>
    <w:rsid w:val="00E521E8"/>
    <w:rsid w:val="00E86FA0"/>
    <w:rsid w:val="00ED2EF4"/>
    <w:rsid w:val="00F402F0"/>
    <w:rsid w:val="00F97A44"/>
    <w:rsid w:val="00FC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F3F"/>
  <w15:chartTrackingRefBased/>
  <w15:docId w15:val="{E0399116-1EAF-4BAF-BFCE-70097945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32"/>
  </w:style>
  <w:style w:type="paragraph" w:styleId="Heading1">
    <w:name w:val="heading 1"/>
    <w:basedOn w:val="Normal"/>
    <w:next w:val="Normal"/>
    <w:link w:val="Heading1Char"/>
    <w:uiPriority w:val="9"/>
    <w:qFormat/>
    <w:rsid w:val="00FC4A7C"/>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C4A7C"/>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C4A7C"/>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C4A7C"/>
    <w:pPr>
      <w:keepNext/>
      <w:numPr>
        <w:ilvl w:val="3"/>
        <w:numId w:val="1"/>
      </w:numPr>
      <w:spacing w:before="240" w:after="60" w:line="240" w:lineRule="auto"/>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FC4A7C"/>
    <w:pPr>
      <w:numPr>
        <w:ilvl w:val="4"/>
        <w:numId w:val="1"/>
      </w:numPr>
      <w:spacing w:before="240" w:after="60" w:line="240" w:lineRule="auto"/>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FC4A7C"/>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C4A7C"/>
    <w:pPr>
      <w:numPr>
        <w:ilvl w:val="6"/>
        <w:numId w:val="1"/>
      </w:numPr>
      <w:spacing w:before="240" w:after="60" w:line="240" w:lineRule="auto"/>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FC4A7C"/>
    <w:pPr>
      <w:numPr>
        <w:ilvl w:val="7"/>
        <w:numId w:val="1"/>
      </w:numPr>
      <w:spacing w:before="240" w:after="60" w:line="240" w:lineRule="auto"/>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FC4A7C"/>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1B7"/>
    <w:pPr>
      <w:spacing w:after="200" w:line="276" w:lineRule="auto"/>
      <w:ind w:left="720"/>
      <w:contextualSpacing/>
    </w:pPr>
    <w:rPr>
      <w:rFonts w:ascii="Calibri" w:eastAsia="Calibri" w:hAnsi="Calibri" w:cs="Times New Roman"/>
    </w:rPr>
  </w:style>
  <w:style w:type="character" w:customStyle="1" w:styleId="textexposedshow">
    <w:name w:val="text_exposed_show"/>
    <w:rsid w:val="007261B7"/>
  </w:style>
  <w:style w:type="character" w:customStyle="1" w:styleId="Heading1Char">
    <w:name w:val="Heading 1 Char"/>
    <w:basedOn w:val="DefaultParagraphFont"/>
    <w:link w:val="Heading1"/>
    <w:uiPriority w:val="9"/>
    <w:rsid w:val="00FC4A7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C4A7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C4A7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C4A7C"/>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FC4A7C"/>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FC4A7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C4A7C"/>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FC4A7C"/>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FC4A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597">
      <w:bodyDiv w:val="1"/>
      <w:marLeft w:val="0"/>
      <w:marRight w:val="0"/>
      <w:marTop w:val="0"/>
      <w:marBottom w:val="0"/>
      <w:divBdr>
        <w:top w:val="none" w:sz="0" w:space="0" w:color="auto"/>
        <w:left w:val="none" w:sz="0" w:space="0" w:color="auto"/>
        <w:bottom w:val="none" w:sz="0" w:space="0" w:color="auto"/>
        <w:right w:val="none" w:sz="0" w:space="0" w:color="auto"/>
      </w:divBdr>
    </w:div>
    <w:div w:id="748117485">
      <w:bodyDiv w:val="1"/>
      <w:marLeft w:val="0"/>
      <w:marRight w:val="0"/>
      <w:marTop w:val="0"/>
      <w:marBottom w:val="0"/>
      <w:divBdr>
        <w:top w:val="none" w:sz="0" w:space="0" w:color="auto"/>
        <w:left w:val="none" w:sz="0" w:space="0" w:color="auto"/>
        <w:bottom w:val="none" w:sz="0" w:space="0" w:color="auto"/>
        <w:right w:val="none" w:sz="0" w:space="0" w:color="auto"/>
      </w:divBdr>
    </w:div>
    <w:div w:id="1019938662">
      <w:bodyDiv w:val="1"/>
      <w:marLeft w:val="0"/>
      <w:marRight w:val="0"/>
      <w:marTop w:val="0"/>
      <w:marBottom w:val="0"/>
      <w:divBdr>
        <w:top w:val="none" w:sz="0" w:space="0" w:color="auto"/>
        <w:left w:val="none" w:sz="0" w:space="0" w:color="auto"/>
        <w:bottom w:val="none" w:sz="0" w:space="0" w:color="auto"/>
        <w:right w:val="none" w:sz="0" w:space="0" w:color="auto"/>
      </w:divBdr>
    </w:div>
    <w:div w:id="1067722509">
      <w:bodyDiv w:val="1"/>
      <w:marLeft w:val="0"/>
      <w:marRight w:val="0"/>
      <w:marTop w:val="0"/>
      <w:marBottom w:val="0"/>
      <w:divBdr>
        <w:top w:val="none" w:sz="0" w:space="0" w:color="auto"/>
        <w:left w:val="none" w:sz="0" w:space="0" w:color="auto"/>
        <w:bottom w:val="none" w:sz="0" w:space="0" w:color="auto"/>
        <w:right w:val="none" w:sz="0" w:space="0" w:color="auto"/>
      </w:divBdr>
    </w:div>
    <w:div w:id="1170364581">
      <w:bodyDiv w:val="1"/>
      <w:marLeft w:val="0"/>
      <w:marRight w:val="0"/>
      <w:marTop w:val="0"/>
      <w:marBottom w:val="0"/>
      <w:divBdr>
        <w:top w:val="none" w:sz="0" w:space="0" w:color="auto"/>
        <w:left w:val="none" w:sz="0" w:space="0" w:color="auto"/>
        <w:bottom w:val="none" w:sz="0" w:space="0" w:color="auto"/>
        <w:right w:val="none" w:sz="0" w:space="0" w:color="auto"/>
      </w:divBdr>
    </w:div>
    <w:div w:id="1479419992">
      <w:bodyDiv w:val="1"/>
      <w:marLeft w:val="0"/>
      <w:marRight w:val="0"/>
      <w:marTop w:val="0"/>
      <w:marBottom w:val="0"/>
      <w:divBdr>
        <w:top w:val="none" w:sz="0" w:space="0" w:color="auto"/>
        <w:left w:val="none" w:sz="0" w:space="0" w:color="auto"/>
        <w:bottom w:val="none" w:sz="0" w:space="0" w:color="auto"/>
        <w:right w:val="none" w:sz="0" w:space="0" w:color="auto"/>
      </w:divBdr>
    </w:div>
    <w:div w:id="1857618705">
      <w:bodyDiv w:val="1"/>
      <w:marLeft w:val="0"/>
      <w:marRight w:val="0"/>
      <w:marTop w:val="0"/>
      <w:marBottom w:val="0"/>
      <w:divBdr>
        <w:top w:val="none" w:sz="0" w:space="0" w:color="auto"/>
        <w:left w:val="none" w:sz="0" w:space="0" w:color="auto"/>
        <w:bottom w:val="none" w:sz="0" w:space="0" w:color="auto"/>
        <w:right w:val="none" w:sz="0" w:space="0" w:color="auto"/>
      </w:divBdr>
    </w:div>
    <w:div w:id="1994333303">
      <w:bodyDiv w:val="1"/>
      <w:marLeft w:val="0"/>
      <w:marRight w:val="0"/>
      <w:marTop w:val="0"/>
      <w:marBottom w:val="0"/>
      <w:divBdr>
        <w:top w:val="none" w:sz="0" w:space="0" w:color="auto"/>
        <w:left w:val="none" w:sz="0" w:space="0" w:color="auto"/>
        <w:bottom w:val="none" w:sz="0" w:space="0" w:color="auto"/>
        <w:right w:val="none" w:sz="0" w:space="0" w:color="auto"/>
      </w:divBdr>
    </w:div>
    <w:div w:id="2108456729">
      <w:bodyDiv w:val="1"/>
      <w:marLeft w:val="0"/>
      <w:marRight w:val="0"/>
      <w:marTop w:val="0"/>
      <w:marBottom w:val="0"/>
      <w:divBdr>
        <w:top w:val="none" w:sz="0" w:space="0" w:color="auto"/>
        <w:left w:val="none" w:sz="0" w:space="0" w:color="auto"/>
        <w:bottom w:val="none" w:sz="0" w:space="0" w:color="auto"/>
        <w:right w:val="none" w:sz="0" w:space="0" w:color="auto"/>
      </w:divBdr>
    </w:div>
    <w:div w:id="21248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15</cp:revision>
  <dcterms:created xsi:type="dcterms:W3CDTF">2020-02-29T14:35:00Z</dcterms:created>
  <dcterms:modified xsi:type="dcterms:W3CDTF">2020-07-09T10:34:00Z</dcterms:modified>
</cp:coreProperties>
</file>